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val="0"/>
          <w:sz w:val="48"/>
          <w:szCs w:val="48"/>
          <w:highlight w:val="none"/>
          <w:lang w:val="en-US" w:eastAsia="zh-CN"/>
        </w:rPr>
      </w:pPr>
    </w:p>
    <w:p>
      <w:pPr>
        <w:pStyle w:val="23"/>
        <w:rPr>
          <w:rFonts w:hint="eastAsia"/>
          <w:highlight w:val="none"/>
          <w:lang w:val="en-US" w:eastAsia="zh-CN"/>
        </w:rPr>
      </w:pPr>
    </w:p>
    <w:p>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移动DR采购项目</w:t>
      </w:r>
    </w:p>
    <w:p>
      <w:pPr>
        <w:adjustRightInd w:val="0"/>
        <w:snapToGrid w:val="0"/>
        <w:spacing w:before="468" w:beforeLines="150" w:after="312" w:afterLines="100"/>
        <w:jc w:val="center"/>
        <w:rPr>
          <w:rFonts w:hint="eastAsia" w:ascii="宋体" w:hAnsi="宋体" w:eastAsia="宋体" w:cs="宋体"/>
          <w:b/>
          <w:bCs w:val="0"/>
          <w:sz w:val="48"/>
          <w:szCs w:val="48"/>
          <w:highlight w:val="none"/>
        </w:rPr>
      </w:pPr>
    </w:p>
    <w:p>
      <w:pPr>
        <w:jc w:val="both"/>
        <w:rPr>
          <w:rFonts w:hint="eastAsia" w:ascii="宋体" w:hAnsi="宋体" w:eastAsia="宋体" w:cs="宋体"/>
          <w:b/>
          <w:bCs w:val="0"/>
          <w:sz w:val="24"/>
          <w:szCs w:val="24"/>
          <w:highlight w:val="none"/>
        </w:rPr>
      </w:pPr>
    </w:p>
    <w:p>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pPr>
        <w:jc w:val="center"/>
        <w:rPr>
          <w:rFonts w:hint="eastAsia" w:ascii="宋体" w:hAnsi="宋体" w:eastAsia="宋体" w:cs="宋体"/>
          <w:b/>
          <w:sz w:val="24"/>
          <w:szCs w:val="24"/>
          <w:highlight w:val="none"/>
        </w:rPr>
      </w:pPr>
    </w:p>
    <w:p>
      <w:pPr>
        <w:jc w:val="cente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highlight w:val="none"/>
          <w:lang w:val="en-US" w:eastAsia="zh-CN"/>
        </w:rPr>
        <w:t>wcxyy-2026-004</w:t>
      </w:r>
    </w:p>
    <w:p>
      <w:pPr>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p>
    <w:p>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pPr>
        <w:spacing w:line="360" w:lineRule="auto"/>
        <w:rPr>
          <w:rFonts w:hint="eastAsia" w:ascii="宋体" w:hAnsi="宋体" w:eastAsia="宋体" w:cs="宋体"/>
          <w:bCs/>
          <w:sz w:val="28"/>
          <w:szCs w:val="18"/>
          <w:highlight w:val="none"/>
        </w:rPr>
      </w:pPr>
    </w:p>
    <w:p>
      <w:pPr>
        <w:spacing w:line="360" w:lineRule="auto"/>
        <w:ind w:firstLine="2744" w:firstLineChars="980"/>
        <w:rPr>
          <w:rFonts w:hint="eastAsia" w:ascii="宋体" w:hAnsi="宋体" w:eastAsia="宋体" w:cs="宋体"/>
          <w:bCs/>
          <w:sz w:val="28"/>
          <w:szCs w:val="18"/>
          <w:highlight w:val="none"/>
        </w:rPr>
      </w:pPr>
    </w:p>
    <w:p>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年</w:t>
      </w:r>
      <w:r>
        <w:rPr>
          <w:rFonts w:hint="eastAsia" w:ascii="宋体" w:hAnsi="宋体" w:cs="宋体"/>
          <w:bCs/>
          <w:sz w:val="28"/>
          <w:szCs w:val="18"/>
          <w:highlight w:val="none"/>
          <w:lang w:eastAsia="zh-CN"/>
        </w:rPr>
        <w:t>六</w:t>
      </w:r>
      <w:r>
        <w:rPr>
          <w:rFonts w:hint="eastAsia" w:ascii="宋体" w:hAnsi="宋体" w:eastAsia="宋体" w:cs="宋体"/>
          <w:bCs/>
          <w:sz w:val="28"/>
          <w:szCs w:val="18"/>
          <w:highlight w:val="none"/>
        </w:rPr>
        <w:t>月</w:t>
      </w:r>
    </w:p>
    <w:p>
      <w:pPr>
        <w:autoSpaceDE w:val="0"/>
        <w:autoSpaceDN w:val="0"/>
        <w:adjustRightInd w:val="0"/>
        <w:snapToGrid w:val="0"/>
        <w:spacing w:line="760" w:lineRule="exact"/>
        <w:rPr>
          <w:rFonts w:hint="eastAsia" w:ascii="宋体" w:hAnsi="宋体" w:eastAsia="宋体" w:cs="宋体"/>
          <w:b/>
          <w:kern w:val="24"/>
          <w:sz w:val="24"/>
          <w:szCs w:val="24"/>
          <w:highlight w:val="none"/>
        </w:rPr>
      </w:pPr>
    </w:p>
    <w:p>
      <w:pPr>
        <w:pStyle w:val="6"/>
        <w:rPr>
          <w:rFonts w:hint="eastAsia" w:ascii="宋体" w:hAnsi="宋体" w:eastAsia="宋体" w:cs="宋体"/>
          <w:b/>
          <w:kern w:val="24"/>
          <w:sz w:val="24"/>
          <w:szCs w:val="24"/>
          <w:highlight w:val="none"/>
        </w:rPr>
      </w:pPr>
    </w:p>
    <w:p>
      <w:pPr>
        <w:pStyle w:val="7"/>
        <w:rPr>
          <w:rFonts w:hint="eastAsia"/>
          <w:highlight w:val="none"/>
        </w:rPr>
      </w:pPr>
      <w:r>
        <w:rPr>
          <w:rFonts w:hint="eastAsia" w:ascii="宋体" w:hAnsi="宋体" w:cs="宋体"/>
          <w:b/>
          <w:kern w:val="24"/>
          <w:sz w:val="24"/>
          <w:szCs w:val="24"/>
          <w:highlight w:val="none"/>
          <w:lang w:val="en-US" w:eastAsia="zh-CN"/>
        </w:rPr>
        <w:t xml:space="preserve"> </w:t>
      </w:r>
    </w:p>
    <w:p>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spacing w:line="360" w:lineRule="auto"/>
        <w:ind w:firstLine="420"/>
        <w:jc w:val="center"/>
        <w:rPr>
          <w:rFonts w:hint="eastAsia" w:ascii="宋体" w:hAnsi="宋体" w:eastAsia="宋体" w:cs="宋体"/>
          <w:b/>
          <w:spacing w:val="12"/>
          <w:sz w:val="24"/>
          <w:szCs w:val="24"/>
          <w:highlight w:val="none"/>
        </w:rPr>
      </w:pPr>
    </w:p>
    <w:p>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eastAsia="zh-CN"/>
        </w:rPr>
        <w:t>供应商须知</w:t>
      </w:r>
      <w:r>
        <w:rPr>
          <w:rFonts w:ascii="宋体" w:hAnsi="宋体" w:eastAsia="宋体"/>
          <w:kern w:val="0"/>
          <w:sz w:val="28"/>
          <w:szCs w:val="28"/>
          <w:highlight w:val="none"/>
        </w:rPr>
        <w:t>…………………………………</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10</w:t>
      </w:r>
    </w:p>
    <w:p>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13</w:t>
      </w:r>
    </w:p>
    <w:p>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18</w:t>
      </w:r>
      <w:bookmarkStart w:id="0" w:name="_GoBack"/>
      <w:bookmarkEnd w:id="0"/>
    </w:p>
    <w:p>
      <w:pPr>
        <w:autoSpaceDE w:val="0"/>
        <w:autoSpaceDN w:val="0"/>
        <w:adjustRightInd w:val="0"/>
        <w:spacing w:line="700" w:lineRule="exact"/>
        <w:rPr>
          <w:rFonts w:hint="eastAsia" w:ascii="宋体" w:hAnsi="宋体" w:eastAsia="宋体" w:cs="宋体"/>
          <w:bCs/>
          <w:kern w:val="0"/>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pStyle w:val="6"/>
        <w:rPr>
          <w:rFonts w:hint="eastAsia"/>
          <w:highlight w:val="none"/>
        </w:rPr>
      </w:pPr>
    </w:p>
    <w:p>
      <w:pPr>
        <w:pStyle w:val="18"/>
        <w:rPr>
          <w:rFonts w:hint="eastAsia" w:ascii="宋体" w:hAnsi="宋体" w:eastAsia="宋体" w:cs="宋体"/>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8"/>
          <w:szCs w:val="28"/>
          <w:highlight w:val="none"/>
        </w:rPr>
      </w:pPr>
    </w:p>
    <w:p>
      <w:pPr>
        <w:pStyle w:val="18"/>
        <w:rPr>
          <w:rFonts w:hint="eastAsia"/>
          <w:highlight w:val="none"/>
        </w:rPr>
      </w:pPr>
    </w:p>
    <w:p>
      <w:pPr>
        <w:pStyle w:val="6"/>
        <w:rPr>
          <w:rFonts w:hint="eastAsia"/>
          <w:highlight w:val="none"/>
        </w:rPr>
      </w:pPr>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供应商须知前附表</w:t>
      </w:r>
    </w:p>
    <w:p>
      <w:pPr>
        <w:ind w:firstLine="420"/>
        <w:rPr>
          <w:rFonts w:hint="eastAsia" w:ascii="宋体" w:hAnsi="宋体" w:eastAsia="宋体" w:cs="宋体"/>
          <w:sz w:val="24"/>
          <w:highlight w:val="none"/>
        </w:rPr>
      </w:pPr>
      <w:r>
        <w:rPr>
          <w:rFonts w:hint="eastAsia" w:ascii="宋体" w:hAnsi="宋体" w:eastAsia="宋体" w:cs="宋体"/>
          <w:sz w:val="24"/>
          <w:highlight w:val="none"/>
        </w:rPr>
        <w:t>本表关于要采购的货物的具体资料是对供应商须知的具体补充和修改，如有矛盾，应以本资料表为准。</w:t>
      </w:r>
    </w:p>
    <w:tbl>
      <w:tblPr>
        <w:tblStyle w:val="19"/>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9</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w:t>
            </w:r>
            <w:r>
              <w:rPr>
                <w:rFonts w:hint="eastAsia" w:ascii="宋体" w:hAnsi="宋体" w:cs="宋体"/>
                <w:sz w:val="24"/>
                <w:highlight w:val="none"/>
                <w:lang w:val="en-US" w:eastAsia="zh-CN"/>
              </w:rPr>
              <w:t>60</w:t>
            </w:r>
            <w:r>
              <w:rPr>
                <w:rFonts w:hint="eastAsia" w:ascii="宋体" w:hAnsi="宋体" w:eastAsia="宋体" w:cs="宋体"/>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922" w:type="dxa"/>
            <w:noWrap w:val="0"/>
            <w:vAlign w:val="center"/>
          </w:tcPr>
          <w:p>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5</w:t>
            </w:r>
            <w:r>
              <w:rPr>
                <w:rFonts w:hint="eastAsia" w:ascii="宋体" w:hAnsi="宋体" w:eastAsia="宋体" w:cs="宋体"/>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pPr>
        <w:spacing w:line="500" w:lineRule="exact"/>
        <w:ind w:firstLine="42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供应商须知正文</w:t>
      </w:r>
    </w:p>
    <w:p>
      <w:pPr>
        <w:spacing w:line="50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一、说  明</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定义</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1.1“采购人”是指依法进行政府采购的国家机关、事业单位、团体组织。本次采购的采购人名称、地址、电话、联系人见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“供应商”是响应采购文件并且符合采购文件规定资格条件和参加投标竞争的法人、其他组织或者自然人。</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采购项目资金来源及采购预算</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2.1本项目采购资金</w:t>
      </w:r>
      <w:r>
        <w:rPr>
          <w:rFonts w:hint="eastAsia" w:ascii="宋体" w:hAnsi="宋体" w:eastAsia="宋体" w:cs="宋体"/>
          <w:sz w:val="24"/>
          <w:highlight w:val="none"/>
          <w:lang w:val="en-US" w:eastAsia="zh-CN"/>
        </w:rPr>
        <w:t>为医院自筹资金</w:t>
      </w:r>
      <w:r>
        <w:rPr>
          <w:rFonts w:hint="eastAsia" w:ascii="宋体" w:hAnsi="宋体" w:eastAsia="宋体" w:cs="宋体"/>
          <w:sz w:val="24"/>
          <w:highlight w:val="none"/>
        </w:rPr>
        <w:t>，预算金额见供应商须知前附表。</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供应商的资格要求</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3.1供应商应当符合下列资格条件要求：</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（1）符</w:t>
      </w:r>
      <w:r>
        <w:rPr>
          <w:rFonts w:hint="eastAsia" w:ascii="宋体" w:hAnsi="宋体" w:eastAsia="宋体" w:cs="宋体"/>
          <w:sz w:val="24"/>
          <w:highlight w:val="none"/>
          <w:u w:val="none"/>
        </w:rPr>
        <w:t>合</w:t>
      </w:r>
      <w:r>
        <w:rPr>
          <w:rFonts w:hint="eastAsia" w:ascii="宋体" w:hAnsi="宋体" w:cs="宋体"/>
          <w:sz w:val="24"/>
          <w:highlight w:val="none"/>
          <w:u w:val="none"/>
          <w:lang w:eastAsia="zh-CN"/>
        </w:rPr>
        <w:t>《中华人民共和国政府采购法》</w:t>
      </w:r>
      <w:r>
        <w:rPr>
          <w:rFonts w:hint="eastAsia" w:ascii="宋体" w:hAnsi="宋体" w:eastAsia="宋体" w:cs="宋体"/>
          <w:sz w:val="24"/>
          <w:highlight w:val="none"/>
        </w:rPr>
        <w:t>第二十二条规定的条件；</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3.2供应商不得存在下列任意情形之一：</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（1）与采购人存在隶属关系或者其他利害关系。</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（2）单位负责人为同一人或者存在直接控股、管理关系的不同供应商，不得参加同一合同项下的政府采购活动。</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投标费用</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4.1 供应商应承担所有与准备和参加投标有关的费用。不论投标的结果如何,供应商须知前附表中所述的采购人无义务和责任承担这些费用。</w:t>
      </w:r>
    </w:p>
    <w:p>
      <w:pPr>
        <w:spacing w:line="500" w:lineRule="exact"/>
        <w:ind w:left="360"/>
        <w:jc w:val="center"/>
        <w:rPr>
          <w:rFonts w:hint="eastAsia" w:ascii="宋体" w:hAnsi="宋体" w:eastAsia="宋体" w:cs="宋体"/>
          <w:b/>
          <w:sz w:val="32"/>
          <w:highlight w:val="none"/>
        </w:rPr>
      </w:pPr>
    </w:p>
    <w:p>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二、采 购 文 件</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采购文件的构成</w:t>
      </w:r>
    </w:p>
    <w:p>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eastAsia="宋体" w:cs="宋体"/>
          <w:sz w:val="24"/>
          <w:highlight w:val="none"/>
        </w:rPr>
        <w:t>.1 采购文件各章节的内容如下：</w:t>
      </w:r>
      <w:r>
        <w:rPr>
          <w:rFonts w:hint="eastAsia" w:ascii="宋体" w:hAnsi="宋体" w:cs="宋体"/>
          <w:sz w:val="24"/>
          <w:highlight w:val="none"/>
          <w:lang w:val="en-US" w:eastAsia="zh-CN"/>
        </w:rPr>
        <w:t>采购</w:t>
      </w:r>
      <w:r>
        <w:rPr>
          <w:rFonts w:hint="eastAsia" w:ascii="宋体" w:hAnsi="宋体" w:eastAsia="宋体" w:cs="宋体"/>
          <w:sz w:val="24"/>
          <w:highlight w:val="none"/>
        </w:rPr>
        <w:t>公告</w:t>
      </w:r>
      <w:r>
        <w:rPr>
          <w:rFonts w:hint="eastAsia" w:ascii="宋体" w:hAnsi="宋体" w:cs="宋体"/>
          <w:sz w:val="24"/>
          <w:highlight w:val="none"/>
          <w:lang w:eastAsia="zh-CN"/>
        </w:rPr>
        <w:t>、</w:t>
      </w:r>
      <w:r>
        <w:rPr>
          <w:rFonts w:hint="eastAsia" w:ascii="宋体" w:hAnsi="宋体" w:eastAsia="宋体" w:cs="宋体"/>
          <w:sz w:val="24"/>
          <w:highlight w:val="none"/>
        </w:rPr>
        <w:t>供应商须知</w:t>
      </w:r>
      <w:r>
        <w:rPr>
          <w:rFonts w:hint="eastAsia" w:ascii="宋体" w:hAnsi="宋体" w:cs="宋体"/>
          <w:sz w:val="24"/>
          <w:highlight w:val="none"/>
          <w:lang w:eastAsia="zh-CN"/>
        </w:rPr>
        <w:t>、</w:t>
      </w:r>
      <w:r>
        <w:rPr>
          <w:rFonts w:hint="eastAsia" w:ascii="宋体" w:hAnsi="宋体" w:eastAsia="宋体" w:cs="宋体"/>
          <w:sz w:val="24"/>
          <w:highlight w:val="none"/>
        </w:rPr>
        <w:t>采购项目需求</w:t>
      </w:r>
      <w:r>
        <w:rPr>
          <w:rFonts w:hint="eastAsia" w:ascii="宋体" w:hAnsi="宋体" w:cs="宋体"/>
          <w:sz w:val="24"/>
          <w:highlight w:val="none"/>
          <w:lang w:eastAsia="zh-CN"/>
        </w:rPr>
        <w:t>、</w:t>
      </w:r>
      <w:r>
        <w:rPr>
          <w:rFonts w:hint="eastAsia" w:ascii="宋体" w:hAnsi="宋体" w:cs="宋体"/>
          <w:sz w:val="24"/>
          <w:highlight w:val="none"/>
          <w:lang w:val="en-US" w:eastAsia="zh-CN"/>
        </w:rPr>
        <w:t>采购</w:t>
      </w:r>
      <w:r>
        <w:rPr>
          <w:rFonts w:hint="eastAsia" w:ascii="宋体" w:hAnsi="宋体" w:eastAsia="宋体" w:cs="宋体"/>
          <w:sz w:val="24"/>
          <w:highlight w:val="none"/>
        </w:rPr>
        <w:t>程序及评审标准</w:t>
      </w:r>
      <w:r>
        <w:rPr>
          <w:rFonts w:hint="eastAsia" w:ascii="宋体" w:hAnsi="宋体" w:cs="宋体"/>
          <w:sz w:val="24"/>
          <w:highlight w:val="none"/>
          <w:lang w:eastAsia="zh-CN"/>
        </w:rPr>
        <w:t>、</w:t>
      </w:r>
      <w:r>
        <w:rPr>
          <w:rFonts w:hint="eastAsia" w:ascii="宋体" w:hAnsi="宋体" w:eastAsia="宋体" w:cs="宋体"/>
          <w:sz w:val="24"/>
          <w:highlight w:val="none"/>
        </w:rPr>
        <w:t>响应文件格式</w:t>
      </w:r>
      <w:r>
        <w:rPr>
          <w:rFonts w:hint="eastAsia" w:ascii="宋体" w:hAnsi="宋体" w:cs="宋体"/>
          <w:sz w:val="24"/>
          <w:highlight w:val="none"/>
          <w:lang w:eastAsia="zh-CN"/>
        </w:rPr>
        <w:t>。</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.2供应商应仔细阅读采购文件的全部内容，按照采购文件要求编制响应文件。任何对采购文件的忽略或误解不能作为响应文件存在缺陷或瑕疵的理由，其风险由供应商承担。</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采购文件的澄清或修改</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pPr>
        <w:numPr>
          <w:ilvl w:val="0"/>
          <w:numId w:val="1"/>
        </w:numPr>
        <w:snapToGrid w:val="0"/>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偏离</w:t>
      </w:r>
    </w:p>
    <w:p>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7.1</w:t>
      </w:r>
      <w:r>
        <w:rPr>
          <w:rFonts w:hint="eastAsia" w:ascii="宋体" w:hAnsi="宋体" w:eastAsia="宋体" w:cs="宋体"/>
          <w:sz w:val="24"/>
          <w:highlight w:val="none"/>
        </w:rPr>
        <w:t>本款所称偏离为响应文件对采购文件的偏离</w:t>
      </w:r>
      <w:r>
        <w:rPr>
          <w:rFonts w:hint="eastAsia" w:ascii="宋体" w:hAnsi="宋体" w:cs="宋体"/>
          <w:sz w:val="24"/>
          <w:highlight w:val="none"/>
          <w:lang w:eastAsia="zh-CN"/>
        </w:rPr>
        <w:t>。</w:t>
      </w:r>
    </w:p>
    <w:p>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三、响应文件的编制</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投标的语言</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.1 供应商提交的响应文件及供应商与采购人就有关投标的所有来往函电均使用中文。供应商可以提交其他语言的资料，但应附有中文注释，有差异时以中文为准。</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响应文件构成</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9</w:t>
      </w:r>
      <w:r>
        <w:rPr>
          <w:rFonts w:hint="eastAsia" w:ascii="宋体" w:hAnsi="宋体" w:eastAsia="宋体" w:cs="宋体"/>
          <w:sz w:val="24"/>
          <w:highlight w:val="none"/>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highlight w:val="none"/>
        </w:rPr>
        <w:t>（响应文件必须胶装成册，不得为活页装订（散页、打孔、插条等），并编制目录且标注连续页码），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投标报价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.1供应商应按采购文件规定的供货及服务要求、责任范围和合同条件，以人民币进行报价。本项目投标报价要求详见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.2供应商应按开标一览表和分项价格表的内容和格式要求填写各项货物及服务的分项价格和总价。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.3除</w:t>
      </w:r>
      <w:r>
        <w:rPr>
          <w:rFonts w:hint="eastAsia" w:ascii="宋体" w:hAnsi="宋体" w:eastAsia="宋体" w:cs="宋体"/>
          <w:b/>
          <w:sz w:val="24"/>
          <w:highlight w:val="none"/>
        </w:rPr>
        <w:t>供应商须知前附表</w:t>
      </w:r>
      <w:r>
        <w:rPr>
          <w:rFonts w:hint="eastAsia" w:ascii="宋体" w:hAnsi="宋体" w:eastAsia="宋体" w:cs="宋体"/>
          <w:sz w:val="24"/>
          <w:highlight w:val="none"/>
        </w:rPr>
        <w:t>允许提交备选方案外，供应商对每种货物及服务只允许有一个报价，不接受可变动性报价，否则，在评标时将其视为无效投标。</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.4供应商之间不得相互串通投标报价，不得妨碍其他供应商的公平竞争，不得损害采购采购单位或者其他供应商的合法权益。</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投标有效期</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1投标有效期见</w:t>
      </w:r>
      <w:r>
        <w:rPr>
          <w:rFonts w:hint="eastAsia" w:ascii="宋体" w:hAnsi="宋体" w:eastAsia="宋体" w:cs="宋体"/>
          <w:b/>
          <w:sz w:val="24"/>
          <w:highlight w:val="none"/>
        </w:rPr>
        <w:t>供应商须知前附</w:t>
      </w:r>
      <w:r>
        <w:rPr>
          <w:rFonts w:hint="eastAsia" w:ascii="宋体" w:hAnsi="宋体" w:eastAsia="宋体" w:cs="宋体"/>
          <w:sz w:val="24"/>
          <w:highlight w:val="none"/>
        </w:rPr>
        <w:t>表，在此期间响应文件对供应商具有法律约束力，以保证采购人有足够的时间完成评标、定标以及签订合同。投标有效期从投标截止之日起开始计算。投标有效期不足的，在评标时将视为无效投标。</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.2特殊情况需延长投标有效期的，采购人可于投标有效期届满之前，要求供应商同意延长有效期。供应商拒绝延长的，其投标在原投标有效期届满后将不再有效；供应商同意延长的不允许修改或撤回响应文件。</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响应文件的式样和签署</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.1 供应商应按</w:t>
      </w:r>
      <w:r>
        <w:rPr>
          <w:rFonts w:hint="eastAsia" w:ascii="宋体" w:hAnsi="宋体" w:eastAsia="宋体" w:cs="宋体"/>
          <w:b/>
          <w:sz w:val="24"/>
          <w:highlight w:val="none"/>
        </w:rPr>
        <w:t>供应商须知前附表</w:t>
      </w:r>
      <w:r>
        <w:rPr>
          <w:rFonts w:hint="eastAsia" w:ascii="宋体" w:hAnsi="宋体" w:eastAsia="宋体" w:cs="宋体"/>
          <w:sz w:val="24"/>
          <w:highlight w:val="none"/>
        </w:rPr>
        <w:t>要求的份数准备响应文件，正本和副本的封面应注明“正本”或“副本”的字样。若副本与正本不符，以正本为准。</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pPr>
        <w:spacing w:line="500" w:lineRule="exact"/>
        <w:ind w:left="734" w:hanging="734" w:hangingChars="306"/>
        <w:rPr>
          <w:rFonts w:hint="eastAsia" w:ascii="宋体" w:hAnsi="宋体" w:eastAsia="宋体" w:cs="宋体"/>
          <w:sz w:val="24"/>
          <w:highlight w:val="none"/>
        </w:rPr>
      </w:pPr>
    </w:p>
    <w:p>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四、响应文件的递交</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响应文件的密封和标记</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.1供应商应将响应文件正本和所有的副本统一密封在同一个封套中。如一个密封套装不下时，可分几个来装。</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.2封套上应注明：</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u w:val="single"/>
        </w:rPr>
        <w:t>（项目名称）（包号/标段号）</w:t>
      </w:r>
      <w:r>
        <w:rPr>
          <w:rFonts w:hint="eastAsia" w:ascii="宋体" w:hAnsi="宋体" w:eastAsia="宋体" w:cs="宋体"/>
          <w:sz w:val="24"/>
          <w:highlight w:val="none"/>
        </w:rPr>
        <w:t>响应文件</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采购编号：</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供应商地址：</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.3如果封套未按本须知第1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.1条要求加写标记和密封，</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对误投或提前启封概不负责。</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响应文件递交地点及投标截止时间</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rPr>
        <w:t>.1供应商应在规定的截止日期和时间将响应文件</w:t>
      </w:r>
      <w:r>
        <w:rPr>
          <w:rFonts w:hint="eastAsia" w:ascii="宋体" w:hAnsi="宋体" w:eastAsia="宋体" w:cs="宋体"/>
          <w:sz w:val="24"/>
          <w:highlight w:val="none"/>
          <w:lang w:val="en-US" w:eastAsia="zh-CN"/>
        </w:rPr>
        <w:t>密封后</w:t>
      </w:r>
      <w:r>
        <w:rPr>
          <w:rFonts w:hint="eastAsia" w:ascii="宋体" w:hAnsi="宋体" w:eastAsia="宋体" w:cs="宋体"/>
          <w:sz w:val="24"/>
          <w:highlight w:val="none"/>
        </w:rPr>
        <w:t>递交至</w:t>
      </w:r>
      <w:r>
        <w:rPr>
          <w:rFonts w:hint="eastAsia" w:ascii="宋体" w:hAnsi="宋体" w:eastAsia="宋体" w:cs="宋体"/>
          <w:sz w:val="24"/>
          <w:highlight w:val="none"/>
          <w:lang w:val="en-US" w:eastAsia="zh-CN"/>
        </w:rPr>
        <w:t>围场县医院采购中心</w:t>
      </w:r>
      <w:r>
        <w:rPr>
          <w:rFonts w:hint="eastAsia" w:ascii="宋体" w:hAnsi="宋体" w:eastAsia="宋体" w:cs="宋体"/>
          <w:sz w:val="24"/>
          <w:highlight w:val="none"/>
        </w:rPr>
        <w:t>。</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迟交的响应文件</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将拒绝并原封退回本须知第1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条规定的截止期后收到的任何响应文件。</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响应文件的修改和撤回</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.1供应商在递交响应文件后，可以修改或撤回其投标，但供应商必须在规定的投标截止期之前将修改或撤回的书面通知递交到采购</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.2供应商的修改或撤回通知应按本须知第1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条规定编制、密封、标记和递交。</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.3在投标截止期之后，供应商不得对其响应文件做任何修改。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.4从投标截止期至供应商在响应文件中确定的投标有效期期满这段时间内，供应商不得撤回其投标。</w:t>
      </w:r>
    </w:p>
    <w:p>
      <w:pPr>
        <w:spacing w:line="500" w:lineRule="exact"/>
        <w:jc w:val="center"/>
        <w:rPr>
          <w:rFonts w:hint="eastAsia" w:ascii="宋体" w:hAnsi="宋体" w:eastAsia="宋体" w:cs="宋体"/>
          <w:b/>
          <w:sz w:val="32"/>
          <w:highlight w:val="none"/>
        </w:rPr>
      </w:pPr>
    </w:p>
    <w:p>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五、开标与评标</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开标</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.1开标应当在采购文件</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中规定的日期、时间和地点公开进行。</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.2开标时，应当由</w:t>
      </w:r>
      <w:r>
        <w:rPr>
          <w:rFonts w:hint="eastAsia" w:ascii="宋体" w:hAnsi="宋体" w:eastAsia="宋体" w:cs="宋体"/>
          <w:sz w:val="24"/>
          <w:highlight w:val="none"/>
          <w:lang w:val="en-US" w:eastAsia="zh-CN"/>
        </w:rPr>
        <w:t>纪检人员及评委</w:t>
      </w:r>
      <w:r>
        <w:rPr>
          <w:rFonts w:hint="eastAsia" w:ascii="宋体" w:hAnsi="宋体" w:eastAsia="宋体" w:cs="宋体"/>
          <w:sz w:val="24"/>
          <w:highlight w:val="none"/>
        </w:rPr>
        <w:t>经确认无误后当众拆封，宣读供应商名称、修改和撤回投标的通知、投标价格、折扣声明、交货期等内容。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.3在开标时没有启封和读出的响应文件将原封退回给供应商。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.4 开标过程应当专人负责记录，并存档备查。</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组建评标委员会</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.1具体评标事务由采购人依法组建的评标委员会负责</w:t>
      </w:r>
      <w:r>
        <w:rPr>
          <w:rFonts w:hint="eastAsia" w:ascii="宋体" w:hAnsi="宋体" w:eastAsia="宋体" w:cs="宋体"/>
          <w:sz w:val="24"/>
          <w:highlight w:val="none"/>
          <w:lang w:eastAsia="zh-CN"/>
        </w:rPr>
        <w:t>，</w:t>
      </w:r>
      <w:r>
        <w:rPr>
          <w:rFonts w:hint="eastAsia" w:ascii="宋体" w:hAnsi="宋体" w:eastAsia="宋体" w:cs="宋体"/>
          <w:sz w:val="24"/>
          <w:highlight w:val="none"/>
        </w:rPr>
        <w:t>成员人数为3人以上单数（含3人）。</w:t>
      </w:r>
    </w:p>
    <w:p>
      <w:pPr>
        <w:spacing w:line="500" w:lineRule="exact"/>
        <w:rPr>
          <w:rFonts w:hint="eastAsia" w:ascii="宋体" w:hAnsi="宋体" w:eastAsia="宋体" w:cs="宋体"/>
          <w:b/>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.2评标委员会将按照</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中确定的评标方法和评标标准对响应文件进行评审和比较。</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响应文件的初审</w:t>
      </w:r>
    </w:p>
    <w:p>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.1响应文件的初审分为资格性检查和符合性检查。</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资格性检查</w:t>
      </w:r>
      <w:r>
        <w:rPr>
          <w:rFonts w:hint="eastAsia" w:ascii="宋体" w:hAnsi="宋体" w:cs="宋体"/>
          <w:sz w:val="24"/>
          <w:highlight w:val="none"/>
          <w:lang w:eastAsia="zh-CN"/>
        </w:rPr>
        <w:t>：</w:t>
      </w:r>
      <w:r>
        <w:rPr>
          <w:rFonts w:hint="eastAsia" w:ascii="宋体" w:hAnsi="宋体" w:eastAsia="宋体" w:cs="宋体"/>
          <w:sz w:val="24"/>
          <w:highlight w:val="none"/>
        </w:rPr>
        <w:t>对响应文件中的资格证明等进行审查，以确定供应商是否具备投标资格。</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符合性检查</w:t>
      </w:r>
      <w:r>
        <w:rPr>
          <w:rFonts w:hint="eastAsia" w:ascii="宋体" w:hAnsi="宋体" w:cs="宋体"/>
          <w:sz w:val="24"/>
          <w:highlight w:val="none"/>
          <w:lang w:eastAsia="zh-CN"/>
        </w:rPr>
        <w:t>：</w:t>
      </w:r>
      <w:r>
        <w:rPr>
          <w:rFonts w:hint="eastAsia" w:ascii="宋体" w:hAnsi="宋体" w:eastAsia="宋体" w:cs="宋体"/>
          <w:sz w:val="24"/>
          <w:highlight w:val="none"/>
        </w:rPr>
        <w:t>依据采购文件的规定，从响应文件的有效性、完整性和对采购文件的响应程度进行审查，以确定是否对采购文件的实质性要求作出响应。</w:t>
      </w:r>
    </w:p>
    <w:p>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.2供应商有下列情形之一的，应在资格性、符合性检查时按照无效投标处理：</w:t>
      </w:r>
    </w:p>
    <w:p>
      <w:pPr>
        <w:numPr>
          <w:ilvl w:val="0"/>
          <w:numId w:val="2"/>
        </w:num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投标有效期不满足采购文件要求的；</w:t>
      </w:r>
    </w:p>
    <w:p>
      <w:pPr>
        <w:spacing w:line="500" w:lineRule="exact"/>
        <w:rPr>
          <w:rFonts w:hint="eastAsia"/>
          <w:highlight w:val="none"/>
        </w:rPr>
      </w:pPr>
      <w:r>
        <w:rPr>
          <w:rFonts w:hint="eastAsia" w:ascii="宋体" w:hAnsi="宋体" w:eastAsia="宋体" w:cs="宋体"/>
          <w:b/>
          <w:sz w:val="24"/>
          <w:highlight w:val="none"/>
        </w:rPr>
        <w:t>（2）供应商不按评标委员会要求澄清、说明或补正的。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（3）供应商资格不满足采购文件要求或资格证明文件未按采购文件要求提供的；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（4）响应文件未按采购文件要求盖章或签字的；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（5）投标报价高于本项目预算金额的；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（6）未按采购文件格式编写响应文件的；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（7）响应文件中提供虚假或失实资料的；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（8）供应商以明显低于成本价的价格恶意参与投标的；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（9）响应文件不满足采购文件技术要求中重要参数要求的；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（10）响应文件附有采购人不能接受的条件的。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（11）供应商串通投标或弄虚作假或有其他违法行为的；</w:t>
      </w:r>
    </w:p>
    <w:p>
      <w:pPr>
        <w:spacing w:line="500" w:lineRule="exact"/>
        <w:rPr>
          <w:rFonts w:hint="eastAsia" w:ascii="宋体" w:hAnsi="宋体" w:eastAsia="宋体" w:cs="宋体"/>
          <w:b/>
          <w:sz w:val="24"/>
          <w:highlight w:val="none"/>
        </w:rPr>
      </w:pPr>
      <w:r>
        <w:rPr>
          <w:rFonts w:hint="eastAsia" w:ascii="宋体" w:hAnsi="宋体" w:cs="宋体"/>
          <w:b/>
          <w:sz w:val="24"/>
          <w:highlight w:val="none"/>
          <w:lang w:val="en-US" w:eastAsia="zh-CN"/>
        </w:rPr>
        <w:t xml:space="preserve">20. </w:t>
      </w:r>
      <w:r>
        <w:rPr>
          <w:rFonts w:hint="eastAsia" w:ascii="宋体" w:hAnsi="宋体" w:eastAsia="宋体" w:cs="宋体"/>
          <w:b/>
          <w:sz w:val="24"/>
          <w:highlight w:val="none"/>
        </w:rPr>
        <w:t>核价原则</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.1响应文件中开标一览表内容与响应文件中明细表内容不一致的，以开标一览表为准。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.2响应文件的大写金额和小写金额不一致的，以大写金额为准。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.3总价金额与按单价汇总金额不一致的，以单价金额计算结果为准。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4单价金额小数点有明显错误的，应以总价为准，并修改单价。</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.5对不同文字文本响应文件的解释发生异议的，以中文文本为准。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.6评标委员会将按上述修正错误的方法调整响应文件中的投标报价，调整后的价格应对供应商具有约束力。供应商不同意以上修正的，其投标作无效投标处理。</w:t>
      </w:r>
    </w:p>
    <w:p>
      <w:pPr>
        <w:spacing w:line="500" w:lineRule="exact"/>
        <w:rPr>
          <w:rFonts w:hint="eastAsia" w:ascii="宋体" w:hAnsi="宋体" w:eastAsia="宋体" w:cs="宋体"/>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．响应文件的澄清</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.2供应商的澄清、说明或者补正应该采用书面形式，由法定代表人或其授权的代理人签字，并按评标委员会的通知要求递交。</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.3有效的书面澄清材料，是响应文件的补充材料，成为响应文件的组成部分。</w:t>
      </w:r>
    </w:p>
    <w:p>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2</w:t>
      </w:r>
      <w:r>
        <w:rPr>
          <w:rFonts w:hint="eastAsia" w:ascii="宋体" w:hAnsi="宋体" w:eastAsia="宋体" w:cs="宋体"/>
          <w:b/>
          <w:sz w:val="24"/>
          <w:highlight w:val="none"/>
        </w:rPr>
        <w:t>. 响应文件的比较与评价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评标委员会应按照采购文件中规定的评标方法和标准，对资格性检查和符合性检查合格的响应文件进行价格评审。</w:t>
      </w:r>
    </w:p>
    <w:p>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．推荐成交候选人名单</w:t>
      </w:r>
    </w:p>
    <w:p>
      <w:pPr>
        <w:snapToGrid w:val="0"/>
        <w:spacing w:line="500" w:lineRule="exact"/>
        <w:rPr>
          <w:rFonts w:hint="eastAsia" w:ascii="宋体" w:hAnsi="宋体" w:eastAsia="宋体" w:cs="宋体"/>
          <w:sz w:val="24"/>
          <w:szCs w:val="22"/>
          <w:highlight w:val="none"/>
        </w:rPr>
      </w:pPr>
      <w:r>
        <w:rPr>
          <w:rFonts w:hint="eastAsia" w:ascii="宋体" w:hAnsi="宋体" w:eastAsia="宋体" w:cs="宋体"/>
          <w:sz w:val="24"/>
          <w:highlight w:val="none"/>
        </w:rPr>
        <w:t>评标委员会</w:t>
      </w:r>
      <w:r>
        <w:rPr>
          <w:rFonts w:hint="eastAsia" w:ascii="宋体" w:hAnsi="宋体" w:eastAsia="宋体" w:cs="宋体"/>
          <w:sz w:val="24"/>
          <w:szCs w:val="22"/>
          <w:highlight w:val="none"/>
        </w:rPr>
        <w:t>应当从质量和服务均能满足采购文件实质性响应要求的供应商中，提出成交候选人。</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4</w:t>
      </w:r>
      <w:r>
        <w:rPr>
          <w:rFonts w:hint="eastAsia" w:ascii="宋体" w:hAnsi="宋体" w:eastAsia="宋体" w:cs="宋体"/>
          <w:b/>
          <w:sz w:val="24"/>
          <w:highlight w:val="none"/>
        </w:rPr>
        <w:t>．注意事项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.1评标是采购工作的重要环节，评标工作在评标委员会内独立进行。</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.2评标委员会将遵照规定的评标办法，公正、平等地对待所有供应商。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.4评标委员会和采购</w:t>
      </w:r>
      <w:r>
        <w:rPr>
          <w:rFonts w:hint="eastAsia" w:ascii="宋体" w:hAnsi="宋体" w:cs="宋体"/>
          <w:sz w:val="24"/>
          <w:highlight w:val="none"/>
          <w:lang w:val="en-US" w:eastAsia="zh-CN"/>
        </w:rPr>
        <w:t>人</w:t>
      </w:r>
      <w:r>
        <w:rPr>
          <w:rFonts w:hint="eastAsia" w:ascii="宋体" w:hAnsi="宋体" w:eastAsia="宋体" w:cs="宋体"/>
          <w:sz w:val="24"/>
          <w:highlight w:val="none"/>
        </w:rPr>
        <w:t>不退还响应文件。</w:t>
      </w:r>
    </w:p>
    <w:p>
      <w:pPr>
        <w:spacing w:line="500" w:lineRule="exact"/>
        <w:jc w:val="center"/>
        <w:rPr>
          <w:rFonts w:hint="eastAsia" w:ascii="宋体" w:hAnsi="宋体" w:eastAsia="宋体" w:cs="宋体"/>
          <w:b/>
          <w:sz w:val="32"/>
          <w:highlight w:val="none"/>
        </w:rPr>
      </w:pPr>
    </w:p>
    <w:p>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六、授予合同</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．中标（成交）结果公示</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5</w:t>
      </w:r>
      <w:r>
        <w:rPr>
          <w:rFonts w:hint="eastAsia" w:ascii="宋体" w:hAnsi="宋体" w:eastAsia="宋体" w:cs="宋体"/>
          <w:sz w:val="24"/>
          <w:highlight w:val="none"/>
        </w:rPr>
        <w:t>.1采购人在成交供应商确定后应在</w:t>
      </w:r>
      <w:r>
        <w:rPr>
          <w:rFonts w:hint="eastAsia" w:ascii="宋体" w:hAnsi="宋体" w:eastAsia="宋体" w:cs="宋体"/>
          <w:sz w:val="24"/>
          <w:highlight w:val="none"/>
          <w:lang w:val="en-US" w:eastAsia="zh-CN"/>
        </w:rPr>
        <w:t>医院网站中</w:t>
      </w:r>
      <w:r>
        <w:rPr>
          <w:rFonts w:hint="eastAsia" w:ascii="宋体" w:hAnsi="宋体" w:eastAsia="宋体" w:cs="宋体"/>
          <w:sz w:val="24"/>
          <w:highlight w:val="none"/>
        </w:rPr>
        <w:t>公告中标结果，公示期为1个工作日。</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．中标（成交）通知书</w:t>
      </w:r>
    </w:p>
    <w:p>
      <w:pPr>
        <w:spacing w:line="500" w:lineRule="exact"/>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6</w:t>
      </w:r>
      <w:r>
        <w:rPr>
          <w:rFonts w:hint="eastAsia" w:ascii="宋体" w:hAnsi="宋体" w:eastAsia="宋体" w:cs="宋体"/>
          <w:sz w:val="24"/>
          <w:highlight w:val="none"/>
        </w:rPr>
        <w:t>.1 公示期满后，采购人将中标（成交）通知书授予该成交供应商。</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7</w:t>
      </w:r>
      <w:r>
        <w:rPr>
          <w:rFonts w:hint="eastAsia" w:ascii="宋体" w:hAnsi="宋体" w:eastAsia="宋体" w:cs="宋体"/>
          <w:b/>
          <w:bCs/>
          <w:sz w:val="24"/>
          <w:highlight w:val="none"/>
        </w:rPr>
        <w:t>．授标时更改采购货物数量的权利</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7</w:t>
      </w:r>
      <w:r>
        <w:rPr>
          <w:rFonts w:hint="eastAsia" w:ascii="宋体" w:hAnsi="宋体" w:eastAsia="宋体" w:cs="宋体"/>
          <w:sz w:val="24"/>
          <w:highlight w:val="none"/>
        </w:rPr>
        <w:t>.1采购人在授予合同时有权在供应商须知前附表规定的幅度内对货物需求中规定的货物数量和服务予以增加或减少，但不得对单价或其它的条款和条件作改变。</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8</w:t>
      </w:r>
      <w:r>
        <w:rPr>
          <w:rFonts w:hint="eastAsia" w:ascii="宋体" w:hAnsi="宋体" w:eastAsia="宋体" w:cs="宋体"/>
          <w:b/>
          <w:bCs/>
          <w:sz w:val="24"/>
          <w:highlight w:val="none"/>
        </w:rPr>
        <w:t>．接受和拒绝任何或所有投标的权力</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8</w:t>
      </w:r>
      <w:r>
        <w:rPr>
          <w:rFonts w:hint="eastAsia" w:ascii="宋体" w:hAnsi="宋体" w:eastAsia="宋体" w:cs="宋体"/>
          <w:sz w:val="24"/>
          <w:highlight w:val="none"/>
        </w:rPr>
        <w:t>.1 如出现重大变故，采购任务取消情况，采购人保留因此原因在授标之前任何时候接受或拒绝任何投标，以及宣布采购无效或拒绝所有投标的权力，对受影响的供应商不承担任何责任。</w:t>
      </w:r>
    </w:p>
    <w:p>
      <w:pPr>
        <w:spacing w:line="500" w:lineRule="exact"/>
        <w:rPr>
          <w:rFonts w:hint="eastAsia" w:ascii="宋体" w:hAnsi="宋体" w:eastAsia="宋体" w:cs="宋体"/>
          <w:b/>
          <w:bCs/>
          <w:sz w:val="24"/>
          <w:highlight w:val="none"/>
        </w:rPr>
      </w:pPr>
      <w:r>
        <w:rPr>
          <w:rFonts w:hint="eastAsia" w:ascii="宋体" w:hAnsi="宋体" w:cs="宋体"/>
          <w:b/>
          <w:bCs/>
          <w:sz w:val="24"/>
          <w:highlight w:val="none"/>
          <w:lang w:val="en-US" w:eastAsia="zh-CN"/>
        </w:rPr>
        <w:t>29</w:t>
      </w:r>
      <w:r>
        <w:rPr>
          <w:rFonts w:hint="eastAsia" w:ascii="宋体" w:hAnsi="宋体" w:eastAsia="宋体" w:cs="宋体"/>
          <w:b/>
          <w:bCs/>
          <w:sz w:val="24"/>
          <w:highlight w:val="none"/>
        </w:rPr>
        <w:t>．签订合同</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29</w:t>
      </w:r>
      <w:r>
        <w:rPr>
          <w:rFonts w:hint="eastAsia" w:ascii="宋体" w:hAnsi="宋体" w:eastAsia="宋体" w:cs="宋体"/>
          <w:sz w:val="24"/>
          <w:highlight w:val="none"/>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pPr>
        <w:spacing w:line="500" w:lineRule="exact"/>
        <w:rPr>
          <w:rFonts w:hint="eastAsia" w:ascii="宋体" w:hAnsi="宋体" w:eastAsia="宋体" w:cs="宋体"/>
          <w:sz w:val="24"/>
          <w:highlight w:val="none"/>
        </w:rPr>
      </w:pPr>
    </w:p>
    <w:p>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七、其    它</w:t>
      </w:r>
    </w:p>
    <w:p>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0</w:t>
      </w:r>
      <w:r>
        <w:rPr>
          <w:rFonts w:hint="eastAsia" w:ascii="宋体" w:hAnsi="宋体" w:eastAsia="宋体" w:cs="宋体"/>
          <w:b/>
          <w:bCs/>
          <w:sz w:val="24"/>
          <w:highlight w:val="none"/>
        </w:rPr>
        <w:t>.保密</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0</w:t>
      </w:r>
      <w:r>
        <w:rPr>
          <w:rFonts w:hint="eastAsia" w:ascii="宋体" w:hAnsi="宋体" w:eastAsia="宋体" w:cs="宋体"/>
          <w:sz w:val="24"/>
          <w:highlight w:val="none"/>
        </w:rPr>
        <w:t>.1评标委员会小组成员以及与评标委员会工作有关的人员不得泄露评标情况以及评标过程中获悉的国家秘密、商业秘密。</w:t>
      </w:r>
    </w:p>
    <w:p>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.禁止行为</w:t>
      </w:r>
    </w:p>
    <w:p>
      <w:pPr>
        <w:snapToGrid w:val="0"/>
        <w:spacing w:line="500" w:lineRule="exact"/>
        <w:rPr>
          <w:rFonts w:hint="eastAsia"/>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1</w:t>
      </w:r>
      <w:r>
        <w:rPr>
          <w:rFonts w:hint="eastAsia" w:ascii="宋体" w:hAnsi="宋体" w:eastAsia="宋体" w:cs="宋体"/>
          <w:sz w:val="24"/>
          <w:highlight w:val="none"/>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highlight w:val="none"/>
        </w:rPr>
        <w:t>（成交）</w:t>
      </w:r>
      <w:r>
        <w:rPr>
          <w:rFonts w:hint="eastAsia" w:ascii="宋体" w:hAnsi="宋体" w:eastAsia="宋体" w:cs="宋体"/>
          <w:sz w:val="24"/>
          <w:highlight w:val="none"/>
        </w:rPr>
        <w:t>；不得以任何方式干扰、影响采购工作。供应商违反政府采购法律法规相关规定的，依法追究法律责任。</w:t>
      </w:r>
    </w:p>
    <w:p>
      <w:pPr>
        <w:numPr>
          <w:ilvl w:val="0"/>
          <w:numId w:val="0"/>
        </w:numPr>
        <w:spacing w:before="190" w:beforeLines="50" w:after="190" w:afterLines="50"/>
        <w:jc w:val="center"/>
        <w:rPr>
          <w:rFonts w:hint="eastAsia" w:ascii="宋体" w:hAnsi="宋体" w:eastAsia="宋体"/>
          <w:b/>
          <w:kern w:val="0"/>
          <w:sz w:val="36"/>
          <w:szCs w:val="36"/>
          <w:highlight w:val="none"/>
        </w:rPr>
      </w:pPr>
      <w:r>
        <w:rPr>
          <w:rFonts w:hint="eastAsia" w:ascii="宋体" w:hAnsi="宋体" w:eastAsia="宋体"/>
          <w:b/>
          <w:kern w:val="0"/>
          <w:sz w:val="36"/>
          <w:szCs w:val="36"/>
          <w:highlight w:val="none"/>
          <w:lang w:val="en-US" w:eastAsia="zh-CN"/>
        </w:rPr>
        <w:t>第二章 采购</w:t>
      </w:r>
      <w:r>
        <w:rPr>
          <w:rFonts w:hint="eastAsia" w:ascii="宋体" w:hAnsi="宋体" w:eastAsia="宋体"/>
          <w:b/>
          <w:kern w:val="0"/>
          <w:sz w:val="36"/>
          <w:szCs w:val="36"/>
          <w:highlight w:val="none"/>
        </w:rPr>
        <w:t>项目需求</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预算明细</w:t>
      </w:r>
    </w:p>
    <w:tbl>
      <w:tblPr>
        <w:tblStyle w:val="1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28"/>
        <w:gridCol w:w="1068"/>
        <w:gridCol w:w="169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8" w:type="dxa"/>
            <w:noWrap/>
            <w:vAlign w:val="center"/>
          </w:tcPr>
          <w:p>
            <w:pPr>
              <w:snapToGrid w:val="0"/>
              <w:spacing w:line="500" w:lineRule="exact"/>
              <w:jc w:val="center"/>
              <w:rPr>
                <w:rFonts w:hint="eastAsia" w:ascii="宋体" w:hAnsi="宋体" w:eastAsia="宋体" w:cs="宋体"/>
                <w:b/>
                <w:bCs/>
                <w:sz w:val="24"/>
                <w:lang w:val="en-US" w:eastAsia="zh-CN"/>
              </w:rPr>
            </w:pPr>
            <w:r>
              <w:rPr>
                <w:rFonts w:hint="eastAsia" w:ascii="宋体" w:hAnsi="宋体" w:cs="宋体"/>
                <w:b/>
                <w:bCs/>
                <w:sz w:val="24"/>
                <w:lang w:val="en-US" w:eastAsia="zh-CN"/>
              </w:rPr>
              <w:t>序号</w:t>
            </w:r>
          </w:p>
        </w:tc>
        <w:tc>
          <w:tcPr>
            <w:tcW w:w="3528"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名称</w:t>
            </w:r>
          </w:p>
        </w:tc>
        <w:tc>
          <w:tcPr>
            <w:tcW w:w="1068"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数量</w:t>
            </w:r>
          </w:p>
        </w:tc>
        <w:tc>
          <w:tcPr>
            <w:tcW w:w="1692"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单</w:t>
            </w:r>
            <w:r>
              <w:rPr>
                <w:rFonts w:hint="eastAsia" w:ascii="宋体" w:hAnsi="宋体" w:eastAsia="宋体" w:cs="宋体"/>
                <w:b/>
                <w:bCs/>
                <w:sz w:val="24"/>
              </w:rPr>
              <w:t>价（元）</w:t>
            </w:r>
          </w:p>
        </w:tc>
        <w:tc>
          <w:tcPr>
            <w:tcW w:w="1662"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总</w:t>
            </w:r>
            <w:r>
              <w:rPr>
                <w:rFonts w:hint="eastAsia" w:ascii="宋体" w:hAnsi="宋体" w:eastAsia="宋体" w:cs="宋体"/>
                <w:b/>
                <w:bCs/>
                <w:sz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w:t>
            </w:r>
          </w:p>
        </w:tc>
        <w:tc>
          <w:tcPr>
            <w:tcW w:w="3528"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移动DR</w:t>
            </w:r>
          </w:p>
        </w:tc>
        <w:tc>
          <w:tcPr>
            <w:tcW w:w="1068"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1692"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90000</w:t>
            </w:r>
          </w:p>
        </w:tc>
        <w:tc>
          <w:tcPr>
            <w:tcW w:w="1662"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18" w:type="dxa"/>
            <w:gridSpan w:val="5"/>
            <w:noWrap/>
            <w:vAlign w:val="center"/>
          </w:tcPr>
          <w:p>
            <w:pPr>
              <w:tabs>
                <w:tab w:val="left" w:pos="540"/>
              </w:tabs>
              <w:snapToGrid w:val="0"/>
              <w:spacing w:line="360" w:lineRule="auto"/>
              <w:ind w:firstLine="480" w:firstLineChars="200"/>
              <w:rPr>
                <w:rFonts w:hint="eastAsia" w:ascii="宋体" w:hAnsi="宋体" w:cs="宋体"/>
                <w:sz w:val="24"/>
                <w:lang w:val="en-US" w:eastAsia="zh-CN"/>
              </w:rPr>
            </w:pPr>
            <w:r>
              <w:rPr>
                <w:rFonts w:hint="eastAsia" w:ascii="宋体" w:hAnsi="宋体" w:eastAsia="宋体" w:cs="宋体"/>
                <w:kern w:val="2"/>
                <w:sz w:val="24"/>
                <w:szCs w:val="24"/>
                <w:lang w:val="en-US" w:eastAsia="zh-CN" w:bidi="ar-SA"/>
              </w:rPr>
              <w:t>供应商投标报价超过预算的为无效投标，</w:t>
            </w:r>
            <w:r>
              <w:rPr>
                <w:rFonts w:hint="eastAsia" w:ascii="宋体" w:hAnsi="宋体" w:cs="宋体"/>
                <w:sz w:val="24"/>
                <w:lang w:val="en-US" w:eastAsia="zh-CN"/>
              </w:rPr>
              <w:t>投标报价包含本次采购的货物本身价、投标包含的备件、配件报价、货物运输到指定地点的运输费用、保险费用、安装调试费、培训费及各项税金等。</w:t>
            </w:r>
          </w:p>
        </w:tc>
      </w:tr>
    </w:tbl>
    <w:p>
      <w:pPr>
        <w:pStyle w:val="18"/>
        <w:numPr>
          <w:ilvl w:val="0"/>
          <w:numId w:val="0"/>
        </w:numPr>
        <w:tabs>
          <w:tab w:val="left" w:pos="8280"/>
        </w:tabs>
        <w:rPr>
          <w:rFonts w:hint="eastAsia" w:ascii="宋体" w:hAnsi="宋体" w:eastAsia="宋体" w:cs="宋体"/>
          <w:kern w:val="2"/>
          <w:sz w:val="24"/>
          <w:szCs w:val="24"/>
          <w:highlight w:val="none"/>
          <w:lang w:val="en-US" w:eastAsia="zh-CN" w:bidi="ar-SA"/>
        </w:rPr>
      </w:pPr>
    </w:p>
    <w:p>
      <w:pPr>
        <w:numPr>
          <w:ilvl w:val="0"/>
          <w:numId w:val="3"/>
        </w:numPr>
        <w:rPr>
          <w:rFonts w:hint="eastAsia" w:ascii="宋体" w:hAnsi="宋体" w:cs="宋体"/>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商务要求</w:t>
      </w:r>
      <w:r>
        <w:rPr>
          <w:rFonts w:hint="eastAsia" w:ascii="宋体" w:hAnsi="宋体" w:cs="宋体"/>
          <w:kern w:val="2"/>
          <w:sz w:val="24"/>
          <w:szCs w:val="24"/>
          <w:highlight w:val="none"/>
          <w:lang w:val="en-US" w:eastAsia="zh-CN" w:bidi="ar-SA"/>
        </w:rPr>
        <w:t>：</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1、交货时间：双方签订合同后30天内完成供货。</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2、交货地点：采购人指定地点。</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3、质量标准：合格，符合国家现行技术规范合格标准并满足采购人要求。</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4、合同履行期限：自合同签订之日起30日内完成所有设备的全部交付及安装调试。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5、质保要求：自验收完成之日起，提供整机质保不少于1年。</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6、投标有效期：投标文件中承诺的投标有效期满足招标文件中载明的投标有效期。</w:t>
      </w:r>
    </w:p>
    <w:p>
      <w:pPr>
        <w:rPr>
          <w:rFonts w:hint="eastAsia"/>
          <w:lang w:val="en-US" w:eastAsia="zh-CN"/>
        </w:rPr>
      </w:pPr>
    </w:p>
    <w:p>
      <w:pPr>
        <w:widowControl/>
        <w:numPr>
          <w:ilvl w:val="0"/>
          <w:numId w:val="0"/>
        </w:numPr>
        <w:tabs>
          <w:tab w:val="left" w:pos="1983"/>
        </w:tabs>
        <w:snapToGrid w:val="0"/>
        <w:spacing w:line="360" w:lineRule="auto"/>
        <w:jc w:val="left"/>
        <w:rPr>
          <w:rFonts w:hint="eastAsia" w:ascii="宋体" w:hAnsi="宋体" w:eastAsia="宋体" w:cs="宋体"/>
          <w:sz w:val="24"/>
          <w:highlight w:val="none"/>
          <w:lang w:eastAsia="zh-CN"/>
        </w:rPr>
      </w:pPr>
      <w:r>
        <w:rPr>
          <w:rFonts w:hint="eastAsia" w:ascii="宋体" w:hAnsi="宋体" w:cs="宋体"/>
          <w:b/>
          <w:bCs/>
          <w:sz w:val="24"/>
          <w:highlight w:val="none"/>
          <w:lang w:val="en-US" w:eastAsia="zh-CN"/>
        </w:rPr>
        <w:t>三、技术要求</w:t>
      </w:r>
      <w:r>
        <w:rPr>
          <w:rFonts w:hint="eastAsia" w:ascii="宋体" w:hAnsi="宋体" w:eastAsia="宋体" w:cs="宋体"/>
          <w:b/>
          <w:bCs/>
          <w:sz w:val="24"/>
          <w:highlight w:val="none"/>
          <w:lang w:val="en-US" w:eastAsia="zh-CN"/>
        </w:rPr>
        <w:t>：</w:t>
      </w:r>
    </w:p>
    <w:p>
      <w:pPr>
        <w:widowControl/>
        <w:jc w:val="left"/>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1.数字平板探测器</w:t>
      </w:r>
    </w:p>
    <w:tbl>
      <w:tblPr>
        <w:tblStyle w:val="19"/>
        <w:tblW w:w="7695" w:type="dxa"/>
        <w:tblInd w:w="93" w:type="dxa"/>
        <w:tblLayout w:type="autofit"/>
        <w:tblCellMar>
          <w:top w:w="0" w:type="dxa"/>
          <w:left w:w="108" w:type="dxa"/>
          <w:bottom w:w="0" w:type="dxa"/>
          <w:right w:w="108" w:type="dxa"/>
        </w:tblCellMar>
      </w:tblPr>
      <w:tblGrid>
        <w:gridCol w:w="806"/>
        <w:gridCol w:w="2325"/>
        <w:gridCol w:w="4564"/>
      </w:tblGrid>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方式</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有线</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闪烁体</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非晶硅</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图像尺寸</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≥17X17"</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像素间距</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≤139um</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曝光触发</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具备AED功能</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6</w:t>
            </w:r>
            <w:r>
              <w:rPr>
                <w:rFonts w:hint="eastAsia" w:ascii="微软雅黑" w:hAnsi="微软雅黑" w:eastAsia="微软雅黑" w:cs="微软雅黑"/>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A/D转换</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≥16Bit</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7</w:t>
            </w:r>
            <w:r>
              <w:rPr>
                <w:rFonts w:hint="eastAsia" w:ascii="微软雅黑" w:hAnsi="微软雅黑" w:eastAsia="微软雅黑" w:cs="微软雅黑"/>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线缆接头</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磁吸式数据接头</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8</w:t>
            </w:r>
            <w:r>
              <w:rPr>
                <w:rFonts w:hint="eastAsia" w:ascii="微软雅黑" w:hAnsi="微软雅黑" w:eastAsia="微软雅黑" w:cs="微软雅黑"/>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出图速度</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≤1S</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w:t>
            </w:r>
            <w:r>
              <w:rPr>
                <w:rFonts w:hint="eastAsia" w:ascii="微软雅黑" w:hAnsi="微软雅黑" w:eastAsia="微软雅黑" w:cs="微软雅黑"/>
                <w:color w:val="000000"/>
                <w:kern w:val="0"/>
                <w:sz w:val="24"/>
                <w:szCs w:val="24"/>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操作环境</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0~75%</w:t>
            </w:r>
          </w:p>
        </w:tc>
      </w:tr>
      <w:tr>
        <w:tblPrEx>
          <w:tblCellMar>
            <w:top w:w="0" w:type="dxa"/>
            <w:left w:w="108" w:type="dxa"/>
            <w:bottom w:w="0" w:type="dxa"/>
            <w:right w:w="108" w:type="dxa"/>
          </w:tblCellMar>
        </w:tblPrEx>
        <w:trPr>
          <w:trHeight w:val="4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1.1</w:t>
            </w:r>
            <w:r>
              <w:rPr>
                <w:rFonts w:hint="eastAsia" w:ascii="微软雅黑" w:hAnsi="微软雅黑" w:eastAsia="微软雅黑" w:cs="微软雅黑"/>
                <w:color w:val="000000"/>
                <w:kern w:val="0"/>
                <w:sz w:val="24"/>
                <w:szCs w:val="24"/>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空间分辨率</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≥3.6Lp/mm</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1.1</w:t>
            </w:r>
            <w:r>
              <w:rPr>
                <w:rFonts w:hint="eastAsia" w:ascii="微软雅黑" w:hAnsi="微软雅黑" w:eastAsia="微软雅黑" w:cs="微软雅黑"/>
                <w:color w:val="000000"/>
                <w:kern w:val="0"/>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像素矩阵</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3072X3072</w:t>
            </w:r>
          </w:p>
        </w:tc>
      </w:tr>
      <w:tr>
        <w:tblPrEx>
          <w:tblCellMar>
            <w:top w:w="0" w:type="dxa"/>
            <w:left w:w="108" w:type="dxa"/>
            <w:bottom w:w="0" w:type="dxa"/>
            <w:right w:w="108" w:type="dxa"/>
          </w:tblCellMar>
        </w:tblPrEx>
        <w:trPr>
          <w:trHeight w:val="752" w:hRule="atLeast"/>
        </w:trPr>
        <w:tc>
          <w:tcPr>
            <w:tcW w:w="7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hint="default" w:eastAsia="宋体"/>
                <w:kern w:val="0"/>
                <w:lang w:val="en-US" w:eastAsia="zh-CN"/>
              </w:rPr>
            </w:pPr>
            <w:r>
              <w:rPr>
                <w:rFonts w:hint="eastAsia" w:ascii="微软雅黑" w:hAnsi="微软雅黑" w:eastAsia="微软雅黑" w:cs="微软雅黑"/>
                <w:color w:val="000000"/>
                <w:kern w:val="0"/>
                <w:sz w:val="24"/>
                <w:szCs w:val="24"/>
                <w:lang w:val="en-US" w:eastAsia="zh-CN"/>
              </w:rPr>
              <w:t>2.数字化影像采集系统</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2.1</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基本功能要求</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kern w:val="0"/>
              </w:rPr>
              <w:t>具有AED模式</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2.2*</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可以使用手闸或者AED一键生成模板</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2.3</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图像校准</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2.4*</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校正时间1分钟</w:t>
            </w:r>
          </w:p>
        </w:tc>
      </w:tr>
      <w:tr>
        <w:tblPrEx>
          <w:tblCellMar>
            <w:top w:w="0" w:type="dxa"/>
            <w:left w:w="108" w:type="dxa"/>
            <w:bottom w:w="0" w:type="dxa"/>
            <w:right w:w="108" w:type="dxa"/>
          </w:tblCellMar>
        </w:tblPrEx>
        <w:trPr>
          <w:trHeight w:val="690" w:hRule="atLeast"/>
        </w:trPr>
        <w:tc>
          <w:tcPr>
            <w:tcW w:w="7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hint="default"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3.数字化影像判读系统</w:t>
            </w:r>
          </w:p>
        </w:tc>
      </w:tr>
      <w:tr>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3.1</w:t>
            </w:r>
          </w:p>
        </w:tc>
        <w:tc>
          <w:tcPr>
            <w:tcW w:w="232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图像采集</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可从软件直接调出各体位拍摄的参考曝光参数，以供参照调整高压发生器面板曝光参数</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3.2</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数字摄影功能，可配置正负片图像采集</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3.3</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实时自动窗宽窗位调节</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3.4</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实时边缘增强</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3.5</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根据不同体位选择翻转和旋转</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3.6</w:t>
            </w:r>
          </w:p>
        </w:tc>
        <w:tc>
          <w:tcPr>
            <w:tcW w:w="232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图像处理</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报告分屏</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3.7</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支持不同患者图像打印同张胶片功能</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3.8</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图像标注功能，包括方位和文字</w:t>
            </w:r>
          </w:p>
        </w:tc>
      </w:tr>
      <w:tr>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3.9</w:t>
            </w:r>
          </w:p>
        </w:tc>
        <w:tc>
          <w:tcPr>
            <w:tcW w:w="232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可选择感兴趣区域的原始显示、全屏显示、直方图显示、窗宽窗位调整</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3.10</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图像输出</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胶片打印、报告编辑及打印</w:t>
            </w:r>
          </w:p>
        </w:tc>
      </w:tr>
      <w:tr>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3.11</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PACS发送、存储</w:t>
            </w:r>
          </w:p>
        </w:tc>
      </w:tr>
      <w:tr>
        <w:tblPrEx>
          <w:tblCellMar>
            <w:top w:w="0" w:type="dxa"/>
            <w:left w:w="108" w:type="dxa"/>
            <w:bottom w:w="0" w:type="dxa"/>
            <w:right w:w="108" w:type="dxa"/>
          </w:tblCellMar>
        </w:tblPrEx>
        <w:trPr>
          <w:trHeight w:val="345" w:hRule="atLeast"/>
        </w:trPr>
        <w:tc>
          <w:tcPr>
            <w:tcW w:w="7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4.便携式高频X射线机</w:t>
            </w:r>
            <w:r>
              <w:rPr>
                <w:rFonts w:ascii="微软雅黑" w:hAnsi="微软雅黑" w:eastAsia="微软雅黑" w:cs="微软雅黑"/>
                <w:color w:val="000000"/>
                <w:kern w:val="0"/>
                <w:sz w:val="24"/>
                <w:szCs w:val="24"/>
              </w:rPr>
              <w:t>技术参数表</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工作频率≥60KHZ宽脉调制</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2</w:t>
            </w:r>
            <w:r>
              <w:rPr>
                <w:rFonts w:hint="eastAsia" w:ascii="微软雅黑" w:hAnsi="微软雅黑" w:eastAsia="微软雅黑" w:cs="微软雅黑"/>
                <w:color w:val="000000"/>
                <w:kern w:val="0"/>
                <w:sz w:val="24"/>
                <w:szCs w:val="24"/>
              </w:rPr>
              <w:t>＊</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摄影电压范围 40-110KV，步长1KV</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3</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mA范围： 32mA-100mA，分6档（32，40，50，63，80，100）</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4</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曝光时间范围:≤0.01-6.3s</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mAs范围≤ 0.32-315mAs，按R10'</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6</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X射线管芯最大功率：≤5.6kW</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7</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X射线管芯阳极热容量：≤30kJ</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8</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限束器:最大光野≤440mm+10mmX440mm+10mm，光源LED灯,光源定时≤30s,手动旋钮操纵方式</w:t>
            </w:r>
          </w:p>
        </w:tc>
      </w:tr>
      <w:tr>
        <w:tblPrEx>
          <w:tblCellMar>
            <w:top w:w="0" w:type="dxa"/>
            <w:left w:w="108" w:type="dxa"/>
            <w:bottom w:w="0" w:type="dxa"/>
            <w:right w:w="108" w:type="dxa"/>
          </w:tblCellMar>
        </w:tblPrEx>
        <w:trPr>
          <w:trHeight w:val="34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4.</w:t>
            </w:r>
            <w:r>
              <w:rPr>
                <w:rFonts w:hint="eastAsia" w:ascii="微软雅黑" w:hAnsi="微软雅黑" w:eastAsia="微软雅黑" w:cs="微软雅黑"/>
                <w:color w:val="000000"/>
                <w:kern w:val="0"/>
                <w:sz w:val="24"/>
                <w:szCs w:val="24"/>
                <w:lang w:val="en-US" w:eastAsia="zh-CN"/>
              </w:rPr>
              <w:t>9</w:t>
            </w:r>
          </w:p>
        </w:tc>
        <w:tc>
          <w:tcPr>
            <w:tcW w:w="6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按键、手闸、遥控三种曝光方式</w:t>
            </w:r>
          </w:p>
        </w:tc>
      </w:tr>
    </w:tbl>
    <w:p>
      <w:pPr>
        <w:pStyle w:val="2"/>
        <w:ind w:left="0" w:leftChars="0" w:firstLine="0" w:firstLineChars="0"/>
        <w:rPr>
          <w:rFonts w:hint="eastAsia" w:ascii="宋体" w:hAnsi="宋体" w:eastAsia="宋体" w:cs="宋体"/>
          <w:b/>
          <w:bCs/>
          <w:sz w:val="24"/>
          <w:highlight w:val="none"/>
          <w:lang w:val="en-US" w:eastAsia="zh-CN"/>
        </w:rPr>
      </w:pPr>
    </w:p>
    <w:p>
      <w:pPr>
        <w:spacing w:line="5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三</w:t>
      </w:r>
      <w:r>
        <w:rPr>
          <w:rFonts w:hint="eastAsia" w:ascii="宋体" w:hAnsi="宋体" w:eastAsia="宋体" w:cs="宋体"/>
          <w:b/>
          <w:sz w:val="36"/>
          <w:szCs w:val="36"/>
          <w:highlight w:val="none"/>
        </w:rPr>
        <w:t xml:space="preserve">章 </w:t>
      </w:r>
      <w:r>
        <w:rPr>
          <w:rFonts w:hint="eastAsia" w:ascii="宋体" w:hAnsi="宋体" w:cs="宋体"/>
          <w:b/>
          <w:sz w:val="36"/>
          <w:szCs w:val="36"/>
          <w:highlight w:val="none"/>
          <w:lang w:val="en-US" w:eastAsia="zh-CN"/>
        </w:rPr>
        <w:t>采购</w:t>
      </w:r>
      <w:r>
        <w:rPr>
          <w:rFonts w:hint="eastAsia" w:ascii="宋体" w:hAnsi="宋体" w:eastAsia="宋体" w:cs="宋体"/>
          <w:b/>
          <w:sz w:val="36"/>
          <w:szCs w:val="36"/>
          <w:highlight w:val="none"/>
        </w:rPr>
        <w:t>程序及评审标准</w:t>
      </w:r>
    </w:p>
    <w:p>
      <w:pPr>
        <w:spacing w:line="500" w:lineRule="exact"/>
        <w:ind w:firstLine="480" w:firstLineChars="200"/>
        <w:rPr>
          <w:rFonts w:ascii="宋体" w:hAnsi="宋体" w:eastAsia="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规定的时间、地点主持</w:t>
      </w:r>
      <w:r>
        <w:rPr>
          <w:rFonts w:hint="eastAsia" w:ascii="宋体" w:hAnsi="宋体" w:cs="宋体"/>
          <w:sz w:val="24"/>
          <w:highlight w:val="none"/>
          <w:lang w:val="en-US" w:eastAsia="zh-CN"/>
        </w:rPr>
        <w:t>采购</w:t>
      </w:r>
      <w:r>
        <w:rPr>
          <w:rFonts w:hint="eastAsia" w:ascii="宋体" w:hAnsi="宋体" w:eastAsia="宋体" w:cs="宋体"/>
          <w:sz w:val="24"/>
          <w:highlight w:val="none"/>
        </w:rPr>
        <w:t>活动。</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2、供应商不足3家的，不得开启。</w:t>
      </w:r>
    </w:p>
    <w:p>
      <w:pPr>
        <w:spacing w:line="500" w:lineRule="exact"/>
        <w:ind w:firstLine="220" w:firstLineChars="92"/>
        <w:rPr>
          <w:rFonts w:hint="eastAsia" w:ascii="宋体" w:hAnsi="宋体" w:eastAsia="宋体" w:cs="宋体"/>
          <w:sz w:val="24"/>
          <w:highlight w:val="none"/>
        </w:rPr>
      </w:pPr>
      <w:r>
        <w:rPr>
          <w:rFonts w:hint="eastAsia" w:ascii="宋体" w:hAnsi="宋体" w:eastAsia="宋体" w:cs="宋体"/>
          <w:sz w:val="24"/>
          <w:highlight w:val="none"/>
        </w:rPr>
        <w:t xml:space="preserve">  3、成立</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小组。采购人依法组建</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，成员人数为3人以上单数（含3人）。</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小组对响应文件的资格、有效性、完整性和响应程度进行审查，未实质性响应询价通知书的报价文件按无效处理。</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（1）在审查时，</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小组在</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过程中，不得改变</w:t>
      </w:r>
      <w:r>
        <w:rPr>
          <w:rFonts w:hint="eastAsia" w:ascii="宋体" w:hAnsi="宋体" w:cs="宋体"/>
          <w:sz w:val="24"/>
          <w:highlight w:val="none"/>
          <w:lang w:val="en-US" w:eastAsia="zh-CN"/>
        </w:rPr>
        <w:t>采购</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所确定的技术和服务等要求、评审程序、评定成交的标准和合同文本等事项。</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、参加采购活动的供应商，应当一次报出不得更改的价格。</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pPr>
        <w:spacing w:line="5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、出现下列情形之一的，采购人应当终止采购活动，发布项目终止公告并说明原因，重新开展采购活动：</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（一）因情况变化，不再符合规定的采购方式适用情形的；</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（二）出现影响采购公正的违法、违规行为的；</w:t>
      </w:r>
    </w:p>
    <w:p>
      <w:pPr>
        <w:spacing w:line="500" w:lineRule="exact"/>
        <w:ind w:firstLine="427" w:firstLineChars="178"/>
        <w:rPr>
          <w:rFonts w:hint="eastAsia"/>
          <w:highlight w:val="none"/>
        </w:rPr>
      </w:pPr>
      <w:r>
        <w:rPr>
          <w:rFonts w:hint="eastAsia" w:ascii="宋体" w:hAnsi="宋体" w:eastAsia="宋体" w:cs="宋体"/>
          <w:sz w:val="24"/>
          <w:highlight w:val="none"/>
        </w:rPr>
        <w:t>（三）在采购过程中符合竞争要求的供应商或者报价未超过采购预算的供应商不足3家的。</w:t>
      </w: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b/>
          <w:bCs/>
          <w:sz w:val="24"/>
          <w:highlight w:val="none"/>
        </w:rPr>
      </w:pPr>
    </w:p>
    <w:p>
      <w:pPr>
        <w:pStyle w:val="6"/>
        <w:tabs>
          <w:tab w:val="left" w:pos="8280"/>
        </w:tabs>
        <w:spacing w:line="500" w:lineRule="exact"/>
        <w:rPr>
          <w:rFonts w:hint="eastAsia"/>
          <w:highlight w:val="none"/>
        </w:rPr>
      </w:pPr>
      <w:r>
        <w:rPr>
          <w:rFonts w:hint="eastAsia"/>
          <w:b/>
          <w:bCs/>
          <w:sz w:val="24"/>
          <w:highlight w:val="none"/>
        </w:rPr>
        <w:t>附表：</w:t>
      </w:r>
    </w:p>
    <w:p>
      <w:pPr>
        <w:pStyle w:val="6"/>
        <w:tabs>
          <w:tab w:val="left" w:pos="8280"/>
        </w:tabs>
        <w:spacing w:line="500" w:lineRule="exact"/>
        <w:jc w:val="left"/>
        <w:rPr>
          <w:rFonts w:hint="eastAsia"/>
          <w:b/>
          <w:bCs/>
          <w:sz w:val="28"/>
          <w:szCs w:val="28"/>
          <w:highlight w:val="none"/>
        </w:rPr>
      </w:pPr>
      <w:r>
        <w:rPr>
          <w:rFonts w:hint="eastAsia"/>
          <w:b/>
          <w:bCs/>
          <w:sz w:val="28"/>
          <w:szCs w:val="28"/>
          <w:highlight w:val="none"/>
          <w:lang w:val="en-US" w:eastAsia="zh-CN"/>
        </w:rPr>
        <w:t>附表1：</w:t>
      </w:r>
      <w:r>
        <w:rPr>
          <w:rFonts w:hint="eastAsia"/>
          <w:b/>
          <w:bCs/>
          <w:sz w:val="28"/>
          <w:szCs w:val="28"/>
          <w:highlight w:val="none"/>
        </w:rPr>
        <w:t>资格审查表</w:t>
      </w:r>
    </w:p>
    <w:tbl>
      <w:tblPr>
        <w:tblStyle w:val="19"/>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pPr>
              <w:autoSpaceDN w:val="0"/>
              <w:spacing w:line="360" w:lineRule="atLeast"/>
              <w:jc w:val="center"/>
              <w:rPr>
                <w:rFonts w:hint="eastAsia" w:ascii="宋体" w:hAnsi="宋体" w:eastAsia="宋体" w:cs="Arial"/>
                <w:b/>
                <w:bCs/>
                <w:sz w:val="24"/>
                <w:highlight w:val="none"/>
              </w:rPr>
            </w:pPr>
            <w:r>
              <w:rPr>
                <w:rFonts w:hint="eastAsia" w:ascii="宋体" w:hAnsi="宋体" w:eastAsia="宋体" w:cs="Arial"/>
                <w:b/>
                <w:bCs/>
                <w:sz w:val="24"/>
                <w:highlight w:val="none"/>
              </w:rPr>
              <w:t>通过（√）</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营业执照、税务登记证、组织机构代码证（三证合一的提供载有统一社会信用代码的营业执照）</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pPr>
              <w:rPr>
                <w:rFonts w:hint="eastAsia" w:ascii="宋体" w:hAnsi="宋体" w:eastAsia="宋体" w:cs="宋体"/>
                <w:sz w:val="24"/>
                <w:szCs w:val="24"/>
                <w:highlight w:val="none"/>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pP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法定代表人授权委托书及委托代理人身份证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《中华人民共和国政府采购法》第二十二条规定的</w:t>
            </w:r>
            <w:r>
              <w:rPr>
                <w:rFonts w:hint="eastAsia" w:ascii="宋体" w:hAnsi="宋体" w:eastAsia="宋体" w:cs="宋体"/>
                <w:sz w:val="24"/>
                <w:szCs w:val="24"/>
                <w:highlight w:val="none"/>
                <w:lang w:val="en-US" w:eastAsia="zh-CN"/>
              </w:rPr>
              <w:t>承诺函并加盖公章</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373" w:type="dxa"/>
            <w:noWrap w:val="0"/>
            <w:vAlign w:val="center"/>
          </w:tcPr>
          <w:p>
            <w:pPr>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投标报价未超过招标文件中规定的预算金额或最高限价</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bl>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highlight w:val="none"/>
          <w:lang w:val="en-US" w:eastAsia="zh-CN"/>
        </w:rPr>
        <w:t>附表2：</w:t>
      </w:r>
      <w:r>
        <w:rPr>
          <w:rFonts w:hint="eastAsia"/>
          <w:b/>
          <w:bCs/>
          <w:sz w:val="28"/>
          <w:szCs w:val="28"/>
          <w:highlight w:val="none"/>
        </w:rPr>
        <w:t>符合性评审内容及合格条</w:t>
      </w:r>
      <w:r>
        <w:rPr>
          <w:rFonts w:hint="eastAsia"/>
          <w:b/>
          <w:bCs/>
          <w:sz w:val="28"/>
          <w:szCs w:val="28"/>
          <w:highlight w:val="none"/>
          <w:lang w:val="en-US" w:eastAsia="zh-CN"/>
        </w:rPr>
        <w:t>件</w:t>
      </w:r>
    </w:p>
    <w:tbl>
      <w:tblPr>
        <w:tblStyle w:val="19"/>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165"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审查项目内容</w:t>
            </w:r>
          </w:p>
        </w:tc>
        <w:tc>
          <w:tcPr>
            <w:tcW w:w="3430"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合格条件</w:t>
            </w:r>
          </w:p>
        </w:tc>
        <w:tc>
          <w:tcPr>
            <w:tcW w:w="4013" w:type="dxa"/>
            <w:gridSpan w:val="2"/>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pPr>
              <w:spacing w:line="500" w:lineRule="exact"/>
              <w:jc w:val="center"/>
              <w:rPr>
                <w:rFonts w:hint="eastAsia" w:ascii="宋体" w:hAnsi="宋体" w:eastAsia="宋体" w:cs="宋体"/>
                <w:sz w:val="24"/>
                <w:highlight w:val="none"/>
              </w:rPr>
            </w:pPr>
          </w:p>
        </w:tc>
        <w:tc>
          <w:tcPr>
            <w:tcW w:w="2165" w:type="dxa"/>
            <w:vMerge w:val="continue"/>
            <w:noWrap w:val="0"/>
            <w:vAlign w:val="top"/>
          </w:tcPr>
          <w:p>
            <w:pPr>
              <w:spacing w:line="500" w:lineRule="exact"/>
              <w:jc w:val="center"/>
              <w:rPr>
                <w:rFonts w:hint="eastAsia" w:ascii="宋体" w:hAnsi="宋体" w:eastAsia="宋体" w:cs="宋体"/>
                <w:sz w:val="24"/>
                <w:highlight w:val="none"/>
              </w:rPr>
            </w:pPr>
          </w:p>
        </w:tc>
        <w:tc>
          <w:tcPr>
            <w:tcW w:w="3430" w:type="dxa"/>
            <w:vMerge w:val="continue"/>
            <w:noWrap w:val="0"/>
            <w:vAlign w:val="top"/>
          </w:tcPr>
          <w:p>
            <w:pPr>
              <w:spacing w:line="500" w:lineRule="exact"/>
              <w:jc w:val="center"/>
              <w:rPr>
                <w:rFonts w:hint="eastAsia" w:ascii="宋体" w:hAnsi="宋体" w:eastAsia="宋体" w:cs="宋体"/>
                <w:sz w:val="24"/>
                <w:highlight w:val="none"/>
              </w:rPr>
            </w:pPr>
          </w:p>
        </w:tc>
        <w:tc>
          <w:tcPr>
            <w:tcW w:w="1853" w:type="dxa"/>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通过打“√”</w:t>
            </w:r>
          </w:p>
        </w:tc>
        <w:tc>
          <w:tcPr>
            <w:tcW w:w="2160" w:type="dxa"/>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格式”的要求签字盖章</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投标方案</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color w:val="000000"/>
                <w:sz w:val="24"/>
                <w:highlight w:val="none"/>
              </w:rPr>
              <w:t>不允许备选方案，只能有一个方案投标</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只能有一个有效报价</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2165"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份数</w:t>
            </w:r>
          </w:p>
        </w:tc>
        <w:tc>
          <w:tcPr>
            <w:tcW w:w="3430"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正本、副本数量符合招标文件要求</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2165"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完整性</w:t>
            </w:r>
          </w:p>
        </w:tc>
        <w:tc>
          <w:tcPr>
            <w:tcW w:w="3430"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内容齐全、无遗漏</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结论(通过/不通过)</w:t>
            </w:r>
          </w:p>
        </w:tc>
        <w:tc>
          <w:tcPr>
            <w:tcW w:w="4013" w:type="dxa"/>
            <w:gridSpan w:val="2"/>
            <w:noWrap w:val="0"/>
            <w:vAlign w:val="center"/>
          </w:tcPr>
          <w:p>
            <w:pPr>
              <w:spacing w:line="440" w:lineRule="exact"/>
              <w:jc w:val="center"/>
              <w:rPr>
                <w:rFonts w:hint="eastAsia" w:ascii="宋体" w:hAnsi="宋体" w:eastAsia="宋体" w:cs="宋体"/>
                <w:sz w:val="24"/>
                <w:highlight w:val="none"/>
              </w:rPr>
            </w:pPr>
          </w:p>
        </w:tc>
      </w:tr>
    </w:tbl>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备注：1、评审小组应对有效供应商的上述检查条件查验是否合格，合格者划√，不合格者划×，同时还应核对提供文件的响应性。</w:t>
      </w:r>
    </w:p>
    <w:p>
      <w:pPr>
        <w:numPr>
          <w:ilvl w:val="0"/>
          <w:numId w:val="4"/>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对符合性检查未通过者，不应进入下一步评审。</w:t>
      </w: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default" w:ascii="宋体" w:hAnsi="宋体" w:cs="宋体"/>
          <w:b/>
          <w:color w:val="auto"/>
          <w:sz w:val="28"/>
          <w:szCs w:val="28"/>
          <w:highlight w:val="none"/>
          <w:lang w:val="en-US" w:eastAsia="zh-CN"/>
        </w:rPr>
      </w:pPr>
    </w:p>
    <w:p>
      <w:pPr>
        <w:pStyle w:val="18"/>
        <w:rPr>
          <w:rFonts w:hint="default" w:ascii="宋体" w:hAnsi="宋体" w:cs="宋体"/>
          <w:b/>
          <w:color w:val="auto"/>
          <w:sz w:val="28"/>
          <w:szCs w:val="28"/>
          <w:highlight w:val="none"/>
          <w:lang w:val="en-US" w:eastAsia="zh-CN"/>
        </w:rPr>
      </w:pPr>
    </w:p>
    <w:p>
      <w:pPr>
        <w:rPr>
          <w:rFonts w:hint="default"/>
          <w:highlight w:val="none"/>
          <w:lang w:val="en-US" w:eastAsia="zh-CN"/>
        </w:rPr>
      </w:pPr>
    </w:p>
    <w:p>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9"/>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评分项目</w:t>
            </w:r>
          </w:p>
        </w:tc>
        <w:tc>
          <w:tcPr>
            <w:tcW w:w="693"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标准分</w:t>
            </w:r>
          </w:p>
        </w:tc>
        <w:tc>
          <w:tcPr>
            <w:tcW w:w="4720"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评分标准</w:t>
            </w:r>
          </w:p>
        </w:tc>
        <w:tc>
          <w:tcPr>
            <w:tcW w:w="4280" w:type="dxa"/>
            <w:gridSpan w:val="4"/>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pPr>
              <w:widowControl/>
              <w:jc w:val="left"/>
              <w:rPr>
                <w:rFonts w:ascii="宋体" w:hAnsi="宋体" w:cs="宋体"/>
                <w:kern w:val="0"/>
                <w:sz w:val="24"/>
                <w:highlight w:val="none"/>
              </w:rPr>
            </w:pPr>
          </w:p>
        </w:tc>
        <w:tc>
          <w:tcPr>
            <w:tcW w:w="693" w:type="dxa"/>
            <w:vMerge w:val="continue"/>
            <w:noWrap w:val="0"/>
            <w:vAlign w:val="center"/>
          </w:tcPr>
          <w:p>
            <w:pPr>
              <w:widowControl/>
              <w:jc w:val="left"/>
              <w:rPr>
                <w:rFonts w:ascii="宋体" w:hAnsi="宋体" w:cs="宋体"/>
                <w:kern w:val="0"/>
                <w:sz w:val="24"/>
                <w:highlight w:val="none"/>
              </w:rPr>
            </w:pPr>
          </w:p>
        </w:tc>
        <w:tc>
          <w:tcPr>
            <w:tcW w:w="4720" w:type="dxa"/>
            <w:vMerge w:val="continue"/>
            <w:noWrap w:val="0"/>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1号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2号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3号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kern w:val="0"/>
                <w:sz w:val="24"/>
                <w:highlight w:val="none"/>
              </w:rPr>
              <w:t>投标报价</w:t>
            </w:r>
          </w:p>
        </w:tc>
        <w:tc>
          <w:tcPr>
            <w:tcW w:w="693" w:type="dxa"/>
            <w:noWrap w:val="0"/>
            <w:tcMar>
              <w:top w:w="0" w:type="dxa"/>
              <w:left w:w="105" w:type="dxa"/>
              <w:bottom w:w="0" w:type="dxa"/>
              <w:right w:w="105" w:type="dxa"/>
            </w:tcMar>
            <w:vAlign w:val="center"/>
          </w:tcPr>
          <w:p>
            <w:pPr>
              <w:widowControl/>
              <w:spacing w:before="150" w:after="150" w:line="360"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pPr>
              <w:widowControl/>
              <w:spacing w:before="150" w:after="150" w:line="360"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highlight w:val="none"/>
                <w:lang w:val="en-US" w:eastAsia="zh-CN"/>
              </w:rPr>
              <w:t>×30</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货物规格参数</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pPr>
              <w:widowControl/>
              <w:spacing w:line="315" w:lineRule="atLeast"/>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技术先进性和可靠性</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r>
              <w:rPr>
                <w:rFonts w:hint="eastAsia" w:ascii="宋体" w:hAnsi="宋体" w:cs="宋体"/>
                <w:kern w:val="0"/>
                <w:sz w:val="24"/>
                <w:highlight w:val="none"/>
              </w:rPr>
              <w:t>售后服务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1、在本地、市、省一级有专职维修人员分别得5、3、1分</w:t>
            </w:r>
          </w:p>
          <w:p>
            <w:pPr>
              <w:widowControl/>
              <w:spacing w:line="315"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r>
              <w:rPr>
                <w:rFonts w:hint="eastAsia" w:ascii="宋体" w:hAnsi="宋体" w:cs="宋体"/>
                <w:kern w:val="0"/>
                <w:sz w:val="24"/>
                <w:highlight w:val="none"/>
              </w:rPr>
              <w:t>、故障响应时间为2小时内</w:t>
            </w:r>
            <w:r>
              <w:rPr>
                <w:rFonts w:hint="eastAsia" w:ascii="宋体" w:hAnsi="宋体" w:cs="宋体"/>
                <w:kern w:val="0"/>
                <w:sz w:val="24"/>
                <w:highlight w:val="none"/>
                <w:lang w:val="en-US" w:eastAsia="zh-CN"/>
              </w:rPr>
              <w:t>得10分，</w:t>
            </w:r>
            <w:r>
              <w:rPr>
                <w:rFonts w:hint="eastAsia" w:ascii="宋体" w:hAnsi="宋体" w:cs="宋体"/>
                <w:kern w:val="0"/>
                <w:sz w:val="24"/>
                <w:highlight w:val="none"/>
              </w:rPr>
              <w:t>对科室人员提供技术培训</w:t>
            </w:r>
            <w:r>
              <w:rPr>
                <w:rFonts w:hint="eastAsia" w:ascii="宋体" w:hAnsi="宋体" w:cs="宋体"/>
                <w:kern w:val="0"/>
                <w:sz w:val="24"/>
                <w:highlight w:val="none"/>
                <w:lang w:val="en-US" w:eastAsia="zh-CN"/>
              </w:rPr>
              <w:t>得5</w:t>
            </w:r>
            <w:r>
              <w:rPr>
                <w:rFonts w:hint="eastAsia" w:ascii="宋体" w:hAnsi="宋体" w:cs="宋体"/>
                <w:kern w:val="0"/>
                <w:sz w:val="24"/>
                <w:highlight w:val="none"/>
              </w:rPr>
              <w:t>分</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不满足不得分。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合计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100</w:t>
            </w:r>
          </w:p>
        </w:tc>
        <w:tc>
          <w:tcPr>
            <w:tcW w:w="472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vAlign w:val="center"/>
          </w:tcPr>
          <w:p>
            <w:pPr>
              <w:widowControl/>
              <w:jc w:val="left"/>
              <w:rPr>
                <w:kern w:val="0"/>
                <w:sz w:val="20"/>
                <w:szCs w:val="20"/>
                <w:highlight w:val="none"/>
              </w:rPr>
            </w:pPr>
          </w:p>
        </w:tc>
        <w:tc>
          <w:tcPr>
            <w:tcW w:w="1070" w:type="dxa"/>
            <w:noWrap w:val="0"/>
            <w:vAlign w:val="center"/>
          </w:tcPr>
          <w:p>
            <w:pPr>
              <w:widowControl/>
              <w:jc w:val="left"/>
              <w:rPr>
                <w:kern w:val="0"/>
                <w:sz w:val="20"/>
                <w:szCs w:val="20"/>
                <w:highlight w:val="none"/>
              </w:rPr>
            </w:pPr>
          </w:p>
        </w:tc>
        <w:tc>
          <w:tcPr>
            <w:tcW w:w="1070" w:type="dxa"/>
            <w:noWrap w:val="0"/>
            <w:vAlign w:val="center"/>
          </w:tcPr>
          <w:p>
            <w:pPr>
              <w:widowControl/>
              <w:jc w:val="left"/>
              <w:rPr>
                <w:kern w:val="0"/>
                <w:sz w:val="20"/>
                <w:szCs w:val="20"/>
                <w:highlight w:val="none"/>
              </w:rPr>
            </w:pPr>
          </w:p>
        </w:tc>
      </w:tr>
    </w:tbl>
    <w:p>
      <w:pPr>
        <w:tabs>
          <w:tab w:val="left" w:pos="6480"/>
        </w:tabs>
        <w:spacing w:line="240" w:lineRule="auto"/>
        <w:jc w:val="left"/>
        <w:rPr>
          <w:rFonts w:hint="eastAsia" w:ascii="宋体" w:hAnsi="宋体" w:eastAsia="宋体" w:cs="宋体"/>
          <w:b/>
          <w:color w:val="auto"/>
          <w:sz w:val="24"/>
          <w:szCs w:val="24"/>
          <w:highlight w:val="none"/>
        </w:rPr>
      </w:pPr>
    </w:p>
    <w:p>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pStyle w:val="18"/>
        <w:rPr>
          <w:rFonts w:hint="eastAsia" w:ascii="宋体" w:hAnsi="宋体" w:eastAsia="宋体" w:cs="宋体"/>
          <w:b/>
          <w:color w:val="auto"/>
          <w:sz w:val="24"/>
          <w:szCs w:val="24"/>
          <w:highlight w:val="none"/>
        </w:rPr>
      </w:pPr>
    </w:p>
    <w:p>
      <w:pPr>
        <w:rPr>
          <w:rFonts w:hint="eastAsia"/>
          <w:highlight w:val="none"/>
        </w:rPr>
      </w:pPr>
    </w:p>
    <w:p>
      <w:pPr>
        <w:pStyle w:val="18"/>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18"/>
        <w:rPr>
          <w:rFonts w:hint="eastAsia"/>
          <w:highlight w:val="none"/>
        </w:rPr>
      </w:pPr>
    </w:p>
    <w:p>
      <w:pPr>
        <w:pStyle w:val="27"/>
        <w:ind w:firstLine="643"/>
        <w:jc w:val="center"/>
        <w:rPr>
          <w:rFonts w:hint="eastAsia" w:ascii="宋体" w:hAnsi="宋体" w:eastAsia="宋体" w:cs="宋体"/>
          <w:bCs/>
          <w:sz w:val="32"/>
          <w:szCs w:val="32"/>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四</w:t>
      </w:r>
      <w:r>
        <w:rPr>
          <w:rFonts w:hint="eastAsia" w:ascii="宋体" w:hAnsi="宋体" w:eastAsia="宋体" w:cs="宋体"/>
          <w:b/>
          <w:sz w:val="36"/>
          <w:szCs w:val="36"/>
          <w:highlight w:val="none"/>
        </w:rPr>
        <w:t>章  响应文件格式</w:t>
      </w:r>
    </w:p>
    <w:tbl>
      <w:tblPr>
        <w:tblStyle w:val="20"/>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pPr>
        <w:tabs>
          <w:tab w:val="left" w:pos="8280"/>
        </w:tabs>
        <w:jc w:val="right"/>
        <w:rPr>
          <w:rFonts w:hint="eastAsia" w:ascii="宋体" w:hAnsi="宋体" w:eastAsia="宋体" w:cs="宋体"/>
          <w:bCs/>
          <w:sz w:val="30"/>
          <w:szCs w:val="30"/>
          <w:highlight w:val="none"/>
        </w:rPr>
      </w:pPr>
    </w:p>
    <w:p>
      <w:pPr>
        <w:adjustRightInd w:val="0"/>
        <w:snapToGrid w:val="0"/>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6"/>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spacing w:val="12"/>
          <w:sz w:val="24"/>
          <w:szCs w:val="24"/>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pPr>
        <w:spacing w:line="700" w:lineRule="exact"/>
        <w:ind w:firstLine="512" w:firstLineChars="200"/>
        <w:rPr>
          <w:rFonts w:hint="eastAsia" w:ascii="宋体" w:hAnsi="宋体" w:eastAsia="宋体" w:cs="宋体"/>
          <w:spacing w:val="8"/>
          <w:kern w:val="2"/>
          <w:sz w:val="24"/>
          <w:szCs w:val="24"/>
          <w:highlight w:val="none"/>
          <w:lang w:val="en-US" w:eastAsia="zh-CN" w:bidi="ar-SA"/>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pPr>
        <w:pStyle w:val="2"/>
        <w:rPr>
          <w:rFonts w:hint="eastAsia"/>
          <w:lang w:val="en-US" w:eastAsia="zh-CN"/>
        </w:rPr>
      </w:pPr>
    </w:p>
    <w:p>
      <w:pPr>
        <w:pStyle w:val="2"/>
        <w:rPr>
          <w:rFonts w:hint="default"/>
          <w:lang w:val="en-US" w:eastAsia="zh-CN"/>
        </w:rPr>
      </w:pPr>
      <w:r>
        <w:rPr>
          <w:rFonts w:hint="eastAsia" w:ascii="宋体" w:hAnsi="宋体" w:cs="宋体"/>
          <w:spacing w:val="8"/>
          <w:kern w:val="2"/>
          <w:sz w:val="24"/>
          <w:szCs w:val="24"/>
          <w:highlight w:val="none"/>
          <w:lang w:val="en-US" w:eastAsia="zh-CN" w:bidi="ar-SA"/>
        </w:rPr>
        <w:t>七、商务条款偏离表</w:t>
      </w:r>
    </w:p>
    <w:p>
      <w:pPr>
        <w:pStyle w:val="18"/>
        <w:numPr>
          <w:ilvl w:val="0"/>
          <w:numId w:val="0"/>
        </w:numPr>
        <w:jc w:val="both"/>
        <w:rPr>
          <w:rFonts w:hint="eastAsia" w:ascii="宋体" w:hAnsi="宋体" w:eastAsia="宋体" w:cs="宋体"/>
          <w:kern w:val="0"/>
          <w:sz w:val="24"/>
          <w:szCs w:val="24"/>
          <w:highlight w:val="none"/>
          <w:lang w:val="en-US" w:eastAsia="zh-CN"/>
        </w:rPr>
      </w:pPr>
    </w:p>
    <w:p>
      <w:pPr>
        <w:pStyle w:val="18"/>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八</w:t>
      </w:r>
      <w:r>
        <w:rPr>
          <w:rFonts w:hint="eastAsia" w:ascii="宋体" w:hAnsi="宋体" w:eastAsia="宋体" w:cs="宋体"/>
          <w:kern w:val="0"/>
          <w:sz w:val="24"/>
          <w:szCs w:val="24"/>
          <w:highlight w:val="none"/>
          <w:lang w:val="en-US" w:eastAsia="zh-CN"/>
        </w:rPr>
        <w:t>、产品配置情况、售后服务措施</w:t>
      </w:r>
    </w:p>
    <w:p>
      <w:pPr>
        <w:pStyle w:val="6"/>
        <w:rPr>
          <w:rFonts w:hint="eastAsia" w:ascii="宋体" w:hAnsi="宋体" w:eastAsia="宋体" w:cs="宋体"/>
          <w:kern w:val="0"/>
          <w:sz w:val="24"/>
          <w:szCs w:val="24"/>
          <w:highlight w:val="none"/>
          <w:lang w:val="en-US" w:eastAsia="zh-CN"/>
        </w:rPr>
      </w:pPr>
    </w:p>
    <w:p>
      <w:pPr>
        <w:pStyle w:val="6"/>
        <w:spacing w:after="0"/>
        <w:ind w:firstLine="480" w:firstLineChars="200"/>
        <w:rPr>
          <w:rFonts w:hint="default"/>
          <w:sz w:val="24"/>
          <w:szCs w:val="24"/>
          <w:highlight w:val="none"/>
          <w:lang w:val="en-US" w:eastAsia="zh-CN"/>
        </w:rPr>
      </w:pPr>
      <w:r>
        <w:rPr>
          <w:rFonts w:hint="eastAsia" w:ascii="宋体" w:hAnsi="宋体" w:cs="宋体"/>
          <w:kern w:val="0"/>
          <w:sz w:val="24"/>
          <w:szCs w:val="24"/>
          <w:highlight w:val="none"/>
          <w:lang w:val="en-US" w:eastAsia="zh-CN"/>
        </w:rPr>
        <w:t>九</w:t>
      </w:r>
      <w:r>
        <w:rPr>
          <w:rFonts w:hint="eastAsia" w:ascii="宋体" w:hAnsi="宋体" w:eastAsia="宋体" w:cs="宋体"/>
          <w:kern w:val="0"/>
          <w:sz w:val="24"/>
          <w:szCs w:val="24"/>
          <w:highlight w:val="none"/>
          <w:lang w:val="en-US" w:eastAsia="zh-CN"/>
        </w:rPr>
        <w:t>、</w:t>
      </w:r>
      <w:r>
        <w:rPr>
          <w:rFonts w:hint="eastAsia"/>
          <w:sz w:val="24"/>
          <w:szCs w:val="24"/>
          <w:highlight w:val="none"/>
          <w:lang w:val="en-US" w:eastAsia="zh-CN"/>
        </w:rPr>
        <w:t>投标人认为其它有必要的其他资料</w:t>
      </w:r>
    </w:p>
    <w:p>
      <w:pPr>
        <w:pStyle w:val="7"/>
        <w:numPr>
          <w:ilvl w:val="0"/>
          <w:numId w:val="0"/>
        </w:numPr>
        <w:ind w:firstLine="480" w:firstLineChars="200"/>
        <w:rPr>
          <w:rFonts w:hint="eastAsia" w:ascii="宋体" w:hAnsi="宋体" w:eastAsia="宋体" w:cs="宋体"/>
          <w:kern w:val="0"/>
          <w:sz w:val="24"/>
          <w:szCs w:val="24"/>
          <w:highlight w:val="none"/>
          <w:lang w:val="en-US" w:eastAsia="zh-CN"/>
        </w:rPr>
      </w:pPr>
    </w:p>
    <w:p>
      <w:pPr>
        <w:numPr>
          <w:ilvl w:val="0"/>
          <w:numId w:val="0"/>
        </w:numPr>
        <w:rPr>
          <w:rFonts w:hint="eastAsia"/>
          <w:sz w:val="24"/>
          <w:szCs w:val="24"/>
          <w:highlight w:val="none"/>
          <w:lang w:val="en-US" w:eastAsia="zh-CN"/>
        </w:rPr>
      </w:pPr>
      <w:r>
        <w:rPr>
          <w:rFonts w:hint="eastAsia"/>
          <w:sz w:val="24"/>
          <w:szCs w:val="24"/>
          <w:highlight w:val="none"/>
          <w:lang w:val="en-US" w:eastAsia="zh-CN"/>
        </w:rPr>
        <w:t xml:space="preserve">     </w:t>
      </w:r>
    </w:p>
    <w:p>
      <w:pPr>
        <w:pStyle w:val="6"/>
        <w:spacing w:after="0"/>
        <w:rPr>
          <w:rFonts w:hint="default"/>
          <w:sz w:val="24"/>
          <w:szCs w:val="24"/>
          <w:highlight w:val="none"/>
          <w:lang w:val="en-US" w:eastAsia="zh-CN"/>
        </w:rPr>
      </w:pPr>
      <w:r>
        <w:rPr>
          <w:rFonts w:hint="eastAsia"/>
          <w:sz w:val="24"/>
          <w:szCs w:val="24"/>
          <w:highlight w:val="none"/>
          <w:lang w:val="en-US" w:eastAsia="zh-CN"/>
        </w:rPr>
        <w:t xml:space="preserve">    </w:t>
      </w:r>
    </w:p>
    <w:p>
      <w:pPr>
        <w:spacing w:line="360" w:lineRule="auto"/>
        <w:ind w:firstLine="840" w:firstLineChars="350"/>
        <w:rPr>
          <w:rFonts w:hint="eastAsia" w:ascii="宋体" w:hAnsi="宋体" w:eastAsia="宋体" w:cs="宋体"/>
          <w:sz w:val="24"/>
          <w:szCs w:val="24"/>
          <w:highlight w:val="none"/>
        </w:rPr>
      </w:pPr>
    </w:p>
    <w:p>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pPr>
        <w:tabs>
          <w:tab w:val="left" w:pos="0"/>
        </w:tabs>
        <w:adjustRightInd w:val="0"/>
        <w:snapToGrid w:val="0"/>
        <w:spacing w:line="520" w:lineRule="exact"/>
        <w:ind w:firstLine="420"/>
        <w:jc w:val="left"/>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2）</w:t>
      </w:r>
      <w:r>
        <w:rPr>
          <w:rFonts w:hint="eastAsia" w:ascii="宋体" w:hAnsi="宋体" w:eastAsia="宋体" w:cs="宋体"/>
          <w:spacing w:val="12"/>
          <w:sz w:val="24"/>
          <w:szCs w:val="24"/>
          <w:highlight w:val="none"/>
        </w:rPr>
        <w:t>我方同意在本项目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文件中规定的投标截止日起的有效期</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spacing w:val="12"/>
          <w:sz w:val="24"/>
          <w:szCs w:val="24"/>
          <w:highlight w:val="none"/>
        </w:rPr>
        <w:t xml:space="preserve">         天内遵守本投标文件中的承诺且在此期限期满之前均具有约束力。</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3</w:t>
      </w:r>
      <w:r>
        <w:rPr>
          <w:rFonts w:hint="eastAsia" w:ascii="宋体" w:hAnsi="宋体" w:eastAsia="宋体" w:cs="宋体"/>
          <w:spacing w:val="12"/>
          <w:sz w:val="24"/>
          <w:szCs w:val="24"/>
          <w:highlight w:val="none"/>
        </w:rPr>
        <w:t>)愿意严格按招标文件的规定和投标文件的承诺履行合同责任和义务。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4</w:t>
      </w:r>
      <w:r>
        <w:rPr>
          <w:rFonts w:hint="eastAsia" w:ascii="宋体" w:hAnsi="宋体" w:eastAsia="宋体" w:cs="宋体"/>
          <w:spacing w:val="12"/>
          <w:sz w:val="24"/>
          <w:szCs w:val="24"/>
          <w:highlight w:val="none"/>
        </w:rPr>
        <w:t>)我们将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5</w:t>
      </w:r>
      <w:r>
        <w:rPr>
          <w:rFonts w:hint="eastAsia" w:ascii="宋体" w:hAnsi="宋体" w:eastAsia="宋体" w:cs="宋体"/>
          <w:spacing w:val="12"/>
          <w:sz w:val="24"/>
          <w:szCs w:val="24"/>
          <w:highlight w:val="none"/>
        </w:rPr>
        <w:t>)我们愿意提供采购单位在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6</w:t>
      </w:r>
      <w:r>
        <w:rPr>
          <w:rFonts w:hint="eastAsia" w:ascii="宋体" w:hAnsi="宋体" w:eastAsia="宋体" w:cs="宋体"/>
          <w:spacing w:val="12"/>
          <w:sz w:val="24"/>
          <w:szCs w:val="24"/>
          <w:highlight w:val="none"/>
        </w:rPr>
        <w:t>)我们理解，最低报价不是中标的唯一条件。</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8</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pPr>
        <w:adjustRightInd w:val="0"/>
        <w:snapToGrid w:val="0"/>
        <w:spacing w:line="360" w:lineRule="auto"/>
        <w:ind w:firstLine="285"/>
        <w:rPr>
          <w:rFonts w:hint="eastAsia" w:ascii="宋体" w:hAnsi="宋体" w:eastAsia="宋体" w:cs="宋体"/>
          <w:spacing w:val="12"/>
          <w:sz w:val="24"/>
          <w:szCs w:val="24"/>
          <w:highlight w:val="none"/>
        </w:rPr>
      </w:pPr>
    </w:p>
    <w:p>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pPr>
        <w:ind w:firstLine="480" w:firstLineChars="20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投标</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ind w:firstLine="5148" w:firstLineChars="1950"/>
        <w:rPr>
          <w:rFonts w:hint="eastAsia" w:ascii="宋体" w:hAnsi="宋体" w:eastAsia="宋体" w:cs="宋体"/>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 xml:space="preserve">人：（公章）   </w:t>
      </w:r>
    </w:p>
    <w:p>
      <w:pPr>
        <w:ind w:firstLine="480" w:firstLineChars="200"/>
        <w:rPr>
          <w:rFonts w:hint="eastAsia" w:ascii="宋体" w:hAnsi="宋体" w:eastAsia="宋体" w:cs="宋体"/>
          <w:sz w:val="24"/>
          <w:szCs w:val="24"/>
          <w:highlight w:val="none"/>
        </w:rPr>
      </w:pPr>
    </w:p>
    <w:p>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rPr>
          <w:rFonts w:hint="eastAsia"/>
          <w:highlight w:val="none"/>
        </w:rPr>
      </w:pPr>
    </w:p>
    <w:p>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pPr>
        <w:pStyle w:val="23"/>
        <w:numPr>
          <w:ilvl w:val="0"/>
          <w:numId w:val="0"/>
        </w:numPr>
        <w:rPr>
          <w:rFonts w:hint="eastAsia"/>
          <w:highlight w:val="none"/>
        </w:rPr>
      </w:pPr>
    </w:p>
    <w:p>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360" w:lineRule="auto"/>
        <w:rPr>
          <w:rFonts w:hint="eastAsia" w:ascii="宋体" w:hAnsi="宋体" w:eastAsia="宋体" w:cs="宋体"/>
          <w:spacing w:val="12"/>
          <w:sz w:val="24"/>
          <w:szCs w:val="24"/>
          <w:highlight w:val="none"/>
        </w:rPr>
      </w:pPr>
    </w:p>
    <w:p>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人：（公章）                   法定代表人：（签字）</w:t>
      </w:r>
    </w:p>
    <w:p>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hint="eastAsia" w:ascii="宋体" w:hAnsi="宋体" w:eastAsia="宋体" w:cs="宋体"/>
          <w:spacing w:val="12"/>
          <w:sz w:val="24"/>
          <w:szCs w:val="24"/>
          <w:highlight w:val="none"/>
        </w:rPr>
      </w:pPr>
    </w:p>
    <w:p>
      <w:pPr>
        <w:pStyle w:val="23"/>
        <w:rPr>
          <w:rFonts w:hint="default" w:eastAsia="宋体"/>
          <w:highlight w:val="none"/>
          <w:lang w:val="en-US" w:eastAsia="zh-CN"/>
        </w:rPr>
      </w:pPr>
    </w:p>
    <w:p>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pPr>
        <w:pStyle w:val="23"/>
        <w:rPr>
          <w:rFonts w:hint="default" w:eastAsia="宋体"/>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pPr>
        <w:pStyle w:val="3"/>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pPr>
        <w:tabs>
          <w:tab w:val="left" w:pos="1440"/>
        </w:tabs>
        <w:spacing w:line="360" w:lineRule="auto"/>
        <w:ind w:firstLine="482" w:firstLineChars="200"/>
        <w:jc w:val="center"/>
        <w:rPr>
          <w:rFonts w:hint="eastAsia" w:ascii="宋体" w:hAnsi="宋体" w:eastAsia="宋体" w:cs="宋体"/>
          <w:b/>
          <w:sz w:val="24"/>
          <w:highlight w:val="none"/>
        </w:rPr>
      </w:pPr>
      <w:r>
        <w:rPr>
          <w:rFonts w:hint="eastAsia" w:ascii="宋体" w:hAnsi="宋体" w:eastAsia="宋体" w:cs="宋体"/>
          <w:b/>
          <w:kern w:val="0"/>
          <w:sz w:val="24"/>
          <w:highlight w:val="none"/>
          <w:lang w:val="en-US" w:eastAsia="zh-CN"/>
        </w:rPr>
        <w:t>1、</w:t>
      </w:r>
      <w:r>
        <w:rPr>
          <w:rFonts w:hint="eastAsia" w:ascii="宋体" w:hAnsi="宋体" w:eastAsia="宋体" w:cs="宋体"/>
          <w:b/>
          <w:kern w:val="0"/>
          <w:sz w:val="24"/>
          <w:highlight w:val="none"/>
        </w:rPr>
        <w:t>投标人基本情况表</w:t>
      </w:r>
    </w:p>
    <w:tbl>
      <w:tblPr>
        <w:tblStyle w:val="19"/>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投标人名称</w:t>
            </w:r>
          </w:p>
        </w:tc>
        <w:tc>
          <w:tcPr>
            <w:tcW w:w="7196" w:type="dxa"/>
            <w:gridSpan w:val="6"/>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4514" w:type="dxa"/>
            <w:gridSpan w:val="4"/>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税务登记证号</w:t>
            </w: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4514" w:type="dxa"/>
            <w:gridSpan w:val="4"/>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130" w:type="dxa"/>
            <w:gridSpan w:val="2"/>
            <w:noWrap w:val="0"/>
            <w:vAlign w:val="center"/>
          </w:tcPr>
          <w:p>
            <w:pPr>
              <w:jc w:val="center"/>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2682" w:type="dxa"/>
            <w:gridSpan w:val="2"/>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130" w:type="dxa"/>
            <w:gridSpan w:val="2"/>
            <w:noWrap w:val="0"/>
            <w:vAlign w:val="center"/>
          </w:tcPr>
          <w:p>
            <w:pPr>
              <w:jc w:val="center"/>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682" w:type="dxa"/>
            <w:gridSpan w:val="2"/>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成立时间</w:t>
            </w:r>
          </w:p>
        </w:tc>
        <w:tc>
          <w:tcPr>
            <w:tcW w:w="2130" w:type="dxa"/>
            <w:gridSpan w:val="2"/>
            <w:noWrap w:val="0"/>
            <w:vAlign w:val="center"/>
          </w:tcPr>
          <w:p>
            <w:pPr>
              <w:ind w:firstLine="945" w:firstLineChars="450"/>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2682" w:type="dxa"/>
            <w:gridSpan w:val="2"/>
            <w:noWrap w:val="0"/>
            <w:vAlign w:val="center"/>
          </w:tcPr>
          <w:p>
            <w:pPr>
              <w:ind w:firstLine="1575" w:firstLineChars="750"/>
              <w:rPr>
                <w:rFonts w:hint="eastAsia" w:ascii="宋体" w:hAnsi="宋体" w:eastAsia="宋体" w:cs="宋体"/>
                <w:szCs w:val="21"/>
                <w:highlight w:val="none"/>
              </w:rPr>
            </w:pPr>
            <w:r>
              <w:rPr>
                <w:rFonts w:hint="eastAsia" w:ascii="宋体" w:hAnsi="宋体" w:eastAsia="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196" w:type="dxa"/>
            <w:gridSpan w:val="6"/>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单位员工结构</w:t>
            </w:r>
          </w:p>
        </w:tc>
        <w:tc>
          <w:tcPr>
            <w:tcW w:w="13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员工总数</w:t>
            </w:r>
          </w:p>
        </w:tc>
        <w:tc>
          <w:tcPr>
            <w:tcW w:w="1500"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管理人员</w:t>
            </w:r>
          </w:p>
        </w:tc>
        <w:tc>
          <w:tcPr>
            <w:tcW w:w="1633"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技术人员</w:t>
            </w: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售后人员</w:t>
            </w:r>
          </w:p>
        </w:tc>
        <w:tc>
          <w:tcPr>
            <w:tcW w:w="1101"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财务人员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pPr>
              <w:jc w:val="center"/>
              <w:rPr>
                <w:rFonts w:hint="eastAsia" w:ascii="宋体" w:hAnsi="宋体" w:eastAsia="宋体" w:cs="宋体"/>
                <w:szCs w:val="21"/>
                <w:highlight w:val="none"/>
              </w:rPr>
            </w:pPr>
          </w:p>
        </w:tc>
        <w:tc>
          <w:tcPr>
            <w:tcW w:w="1381" w:type="dxa"/>
            <w:noWrap w:val="0"/>
            <w:vAlign w:val="center"/>
          </w:tcPr>
          <w:p>
            <w:pPr>
              <w:jc w:val="center"/>
              <w:rPr>
                <w:rFonts w:hint="eastAsia" w:ascii="宋体" w:hAnsi="宋体" w:eastAsia="宋体" w:cs="宋体"/>
                <w:szCs w:val="21"/>
                <w:highlight w:val="none"/>
              </w:rPr>
            </w:pPr>
          </w:p>
        </w:tc>
        <w:tc>
          <w:tcPr>
            <w:tcW w:w="1500" w:type="dxa"/>
            <w:gridSpan w:val="2"/>
            <w:noWrap w:val="0"/>
            <w:vAlign w:val="center"/>
          </w:tcPr>
          <w:p>
            <w:pPr>
              <w:jc w:val="center"/>
              <w:rPr>
                <w:rFonts w:hint="eastAsia" w:ascii="宋体" w:hAnsi="宋体" w:eastAsia="宋体" w:cs="宋体"/>
                <w:szCs w:val="21"/>
                <w:highlight w:val="none"/>
              </w:rPr>
            </w:pPr>
          </w:p>
        </w:tc>
        <w:tc>
          <w:tcPr>
            <w:tcW w:w="1633" w:type="dxa"/>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pPr>
              <w:tabs>
                <w:tab w:val="left" w:pos="1800"/>
              </w:tabs>
              <w:autoSpaceDE w:val="0"/>
              <w:autoSpaceDN w:val="0"/>
              <w:adjustRightInd w:val="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备注</w:t>
            </w:r>
          </w:p>
        </w:tc>
        <w:tc>
          <w:tcPr>
            <w:tcW w:w="7196" w:type="dxa"/>
            <w:gridSpan w:val="6"/>
            <w:noWrap w:val="0"/>
            <w:vAlign w:val="center"/>
          </w:tcPr>
          <w:p>
            <w:pPr>
              <w:tabs>
                <w:tab w:val="left" w:pos="1800"/>
              </w:tabs>
              <w:autoSpaceDE w:val="0"/>
              <w:autoSpaceDN w:val="0"/>
              <w:adjustRightInd w:val="0"/>
              <w:rPr>
                <w:rFonts w:hint="eastAsia" w:ascii="宋体" w:hAnsi="宋体" w:eastAsia="宋体" w:cs="宋体"/>
                <w:kern w:val="0"/>
                <w:szCs w:val="21"/>
                <w:highlight w:val="none"/>
              </w:rPr>
            </w:pPr>
          </w:p>
        </w:tc>
      </w:tr>
    </w:tbl>
    <w:p>
      <w:pPr>
        <w:spacing w:line="360" w:lineRule="auto"/>
        <w:ind w:firstLine="257" w:firstLineChars="100"/>
        <w:jc w:val="both"/>
        <w:rPr>
          <w:rFonts w:hint="eastAsia" w:ascii="宋体" w:hAnsi="宋体" w:eastAsia="宋体" w:cs="宋体"/>
          <w:b/>
          <w:spacing w:val="8"/>
          <w:sz w:val="24"/>
          <w:szCs w:val="24"/>
          <w:highlight w:val="none"/>
          <w:lang w:val="en-US" w:eastAsia="zh-CN"/>
        </w:rPr>
      </w:pPr>
    </w:p>
    <w:p>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highlight w:val="none"/>
        </w:rPr>
        <w:t>投标人资格证明文件：</w:t>
      </w:r>
    </w:p>
    <w:p>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pPr>
        <w:pStyle w:val="23"/>
        <w:rPr>
          <w:rFonts w:hint="eastAsia"/>
          <w:color w:val="auto"/>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pPr>
        <w:pStyle w:val="6"/>
        <w:rPr>
          <w:rFonts w:hint="eastAsia"/>
          <w:highlight w:val="none"/>
        </w:rPr>
      </w:pPr>
    </w:p>
    <w:p>
      <w:pPr>
        <w:jc w:val="both"/>
        <w:rPr>
          <w:rFonts w:hint="eastAsia" w:ascii="宋体" w:hAnsi="宋体" w:eastAsia="宋体" w:cs="宋体"/>
          <w:b/>
          <w:bCs/>
          <w:sz w:val="24"/>
          <w:szCs w:val="24"/>
          <w:highlight w:val="none"/>
        </w:rPr>
      </w:pPr>
    </w:p>
    <w:p>
      <w:pPr>
        <w:pStyle w:val="6"/>
        <w:rPr>
          <w:rFonts w:hint="eastAsia" w:ascii="宋体" w:hAnsi="宋体" w:eastAsia="宋体" w:cs="宋体"/>
          <w:sz w:val="24"/>
          <w:szCs w:val="24"/>
          <w:highlight w:val="none"/>
        </w:rPr>
      </w:pPr>
    </w:p>
    <w:p>
      <w:pPr>
        <w:jc w:val="center"/>
        <w:rPr>
          <w:rFonts w:hint="eastAsia" w:ascii="宋体" w:hAnsi="宋体" w:eastAsia="宋体" w:cs="宋体"/>
          <w:b/>
          <w:bCs/>
          <w:sz w:val="24"/>
          <w:szCs w:val="24"/>
          <w:highlight w:val="none"/>
        </w:rPr>
      </w:pPr>
    </w:p>
    <w:p>
      <w:pPr>
        <w:pStyle w:val="18"/>
        <w:rPr>
          <w:rFonts w:hint="eastAsia"/>
          <w:b/>
          <w:bCs/>
          <w:highlight w:val="none"/>
          <w:lang w:val="en-US" w:eastAsia="zh-CN"/>
        </w:rPr>
      </w:pPr>
      <w:r>
        <w:rPr>
          <w:rFonts w:hint="eastAsia"/>
          <w:b/>
          <w:bCs/>
          <w:highlight w:val="none"/>
          <w:lang w:val="en-US" w:eastAsia="zh-CN"/>
        </w:rPr>
        <w:t>满足《中华人民共和国政府采购法》第二十二条承诺函</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pPr>
        <w:rPr>
          <w:rFonts w:hint="eastAsia"/>
          <w:highlight w:val="none"/>
          <w:lang w:val="en-US" w:eastAsia="zh-CN"/>
        </w:rPr>
      </w:pPr>
    </w:p>
    <w:p>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highlight w:val="none"/>
          <w:lang w:val="en-US" w:eastAsia="zh-CN"/>
        </w:rPr>
        <w:t xml:space="preserve">                                   </w:t>
      </w:r>
      <w:r>
        <w:rPr>
          <w:rFonts w:hint="eastAsia" w:ascii="宋体" w:hAnsi="宋体" w:eastAsia="宋体" w:cs="宋体"/>
          <w:color w:val="000000"/>
          <w:sz w:val="24"/>
          <w:szCs w:val="24"/>
          <w:highlight w:val="none"/>
          <w:lang w:val="en-US" w:eastAsia="zh-CN"/>
        </w:rPr>
        <w:t>投标人名称（公章）：</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pPr>
        <w:spacing w:line="360" w:lineRule="auto"/>
        <w:ind w:firstLine="480" w:firstLineChars="200"/>
        <w:rPr>
          <w:rFonts w:hint="default"/>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highlight w:val="none"/>
          <w:lang w:val="en-US" w:eastAsia="zh-CN"/>
        </w:rPr>
        <w:t xml:space="preserve">   </w:t>
      </w:r>
    </w:p>
    <w:p>
      <w:pPr>
        <w:spacing w:line="300" w:lineRule="auto"/>
        <w:jc w:val="center"/>
        <w:rPr>
          <w:rFonts w:hint="eastAsia" w:ascii="宋体" w:hAnsi="宋体" w:eastAsia="宋体" w:cs="宋体"/>
          <w:b/>
          <w:sz w:val="24"/>
          <w:szCs w:val="24"/>
          <w:highlight w:val="none"/>
          <w:lang w:val="en-US" w:eastAsia="zh-CN"/>
        </w:rPr>
      </w:pPr>
    </w:p>
    <w:p>
      <w:pPr>
        <w:spacing w:line="300" w:lineRule="auto"/>
        <w:jc w:val="center"/>
        <w:rPr>
          <w:rFonts w:hint="eastAsia" w:ascii="宋体" w:hAnsi="宋体" w:eastAsia="宋体" w:cs="宋体"/>
          <w:b/>
          <w:sz w:val="24"/>
          <w:szCs w:val="24"/>
          <w:highlight w:val="none"/>
          <w:lang w:val="en-US" w:eastAsia="zh-CN"/>
        </w:rPr>
      </w:pPr>
    </w:p>
    <w:p>
      <w:pPr>
        <w:spacing w:line="300" w:lineRule="auto"/>
        <w:jc w:val="both"/>
        <w:rPr>
          <w:rFonts w:hint="eastAsia" w:ascii="宋体" w:hAnsi="宋体" w:eastAsia="宋体" w:cs="宋体"/>
          <w:b/>
          <w:sz w:val="24"/>
          <w:szCs w:val="24"/>
          <w:highlight w:val="none"/>
          <w:lang w:val="en-US" w:eastAsia="zh-CN"/>
        </w:rPr>
      </w:pPr>
    </w:p>
    <w:p>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pPr>
        <w:spacing w:line="300" w:lineRule="auto"/>
        <w:jc w:val="cente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pStyle w:val="18"/>
        <w:ind w:left="0" w:leftChars="0" w:firstLine="0" w:firstLineChars="0"/>
        <w:jc w:val="center"/>
        <w:rPr>
          <w:rFonts w:hint="default"/>
          <w:b/>
          <w:bCs/>
          <w:highlight w:val="none"/>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highlight w:val="none"/>
          <w:lang w:val="en-US" w:eastAsia="zh-CN"/>
        </w:rPr>
        <w:t>信用中国查询结果</w:t>
      </w:r>
    </w:p>
    <w:p>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pPr>
        <w:spacing w:line="300" w:lineRule="auto"/>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1、报价表</w:t>
      </w:r>
    </w:p>
    <w:p>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pPr>
              <w:pStyle w:val="9"/>
              <w:spacing w:line="360" w:lineRule="auto"/>
              <w:ind w:right="150"/>
              <w:jc w:val="center"/>
              <w:rPr>
                <w:rFonts w:hint="eastAsia" w:ascii="宋体" w:hAnsi="宋体" w:eastAsia="宋体" w:cs="宋体"/>
                <w:sz w:val="24"/>
                <w:szCs w:val="24"/>
                <w:highlight w:val="none"/>
                <w:lang w:val="en-US" w:eastAsia="zh-CN"/>
              </w:rPr>
            </w:pPr>
          </w:p>
          <w:p>
            <w:pPr>
              <w:pStyle w:val="9"/>
              <w:spacing w:line="360" w:lineRule="auto"/>
              <w:ind w:right="150"/>
              <w:jc w:val="both"/>
              <w:rPr>
                <w:rFonts w:hint="default"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pPr>
              <w:pStyle w:val="9"/>
              <w:spacing w:line="240" w:lineRule="atLeast"/>
              <w:ind w:left="150" w:right="150"/>
              <w:rPr>
                <w:rFonts w:hint="eastAsia" w:ascii="宋体" w:hAnsi="宋体" w:eastAsia="宋体" w:cs="宋体"/>
                <w:sz w:val="24"/>
                <w:szCs w:val="24"/>
                <w:highlight w:val="none"/>
              </w:rPr>
            </w:pPr>
          </w:p>
          <w:p>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bl>
    <w:p>
      <w:pPr>
        <w:pStyle w:val="9"/>
        <w:tabs>
          <w:tab w:val="left" w:pos="5580"/>
        </w:tabs>
        <w:spacing w:before="120" w:line="360" w:lineRule="auto"/>
        <w:rPr>
          <w:rFonts w:hint="eastAsia" w:ascii="宋体" w:hAnsi="宋体" w:eastAsia="宋体" w:cs="宋体"/>
          <w:bCs/>
          <w:kern w:val="0"/>
          <w:sz w:val="24"/>
          <w:szCs w:val="24"/>
          <w:highlight w:val="none"/>
        </w:rPr>
      </w:pPr>
    </w:p>
    <w:p>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00" w:lineRule="auto"/>
        <w:rPr>
          <w:rFonts w:hint="eastAsia" w:ascii="宋体" w:hAnsi="宋体" w:eastAsia="宋体" w:cs="宋体"/>
          <w:sz w:val="24"/>
          <w:szCs w:val="24"/>
          <w:highlight w:val="none"/>
          <w:u w:val="single"/>
        </w:rPr>
      </w:pPr>
    </w:p>
    <w:p>
      <w:pPr>
        <w:spacing w:line="300" w:lineRule="auto"/>
        <w:rPr>
          <w:rFonts w:hint="eastAsia" w:ascii="宋体" w:hAnsi="宋体" w:eastAsia="宋体" w:cs="宋体"/>
          <w:b/>
          <w:bCs/>
          <w:sz w:val="24"/>
          <w:szCs w:val="24"/>
          <w:highlight w:val="none"/>
          <w:u w:val="single"/>
        </w:rPr>
      </w:pPr>
    </w:p>
    <w:p>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2、投标分项报价表</w:t>
      </w:r>
    </w:p>
    <w:p>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pPr>
              <w:spacing w:line="300" w:lineRule="auto"/>
              <w:rPr>
                <w:rFonts w:hint="eastAsia" w:ascii="宋体" w:hAnsi="宋体" w:eastAsia="宋体" w:cs="宋体"/>
                <w:b/>
                <w:color w:val="auto"/>
                <w:sz w:val="24"/>
                <w:highlight w:val="none"/>
              </w:rPr>
            </w:pPr>
          </w:p>
        </w:tc>
      </w:tr>
    </w:tbl>
    <w:p>
      <w:pPr>
        <w:pStyle w:val="9"/>
        <w:tabs>
          <w:tab w:val="left" w:pos="5580"/>
        </w:tabs>
        <w:spacing w:before="120" w:line="360" w:lineRule="auto"/>
        <w:rPr>
          <w:rFonts w:hint="eastAsia" w:ascii="宋体" w:hAnsi="宋体" w:eastAsia="宋体" w:cs="宋体"/>
          <w:color w:val="auto"/>
          <w:sz w:val="24"/>
          <w:szCs w:val="24"/>
          <w:highlight w:val="none"/>
          <w:lang w:eastAsia="zh-CN"/>
        </w:rPr>
      </w:pPr>
    </w:p>
    <w:p>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pPr>
        <w:pStyle w:val="6"/>
        <w:rPr>
          <w:rFonts w:hint="eastAsia"/>
          <w:highlight w:val="none"/>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pPr>
        <w:numPr>
          <w:ilvl w:val="0"/>
          <w:numId w:val="0"/>
        </w:numPr>
        <w:spacing w:line="30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技术规格偏离表</w:t>
      </w:r>
      <w:r>
        <w:rPr>
          <w:rFonts w:hint="eastAsia" w:ascii="宋体" w:hAnsi="宋体" w:eastAsia="宋体" w:cs="宋体"/>
          <w:b/>
          <w:sz w:val="24"/>
          <w:szCs w:val="24"/>
          <w:highlight w:val="none"/>
          <w:lang w:val="en-US" w:eastAsia="zh-CN"/>
        </w:rPr>
        <w:t xml:space="preserve"> </w:t>
      </w:r>
    </w:p>
    <w:p>
      <w:pPr>
        <w:pStyle w:val="18"/>
        <w:numPr>
          <w:ilvl w:val="0"/>
          <w:numId w:val="0"/>
        </w:numPr>
        <w:jc w:val="center"/>
        <w:rPr>
          <w:rFonts w:hint="eastAsia" w:ascii="宋体" w:hAnsi="宋体" w:eastAsia="宋体" w:cs="宋体"/>
          <w:b/>
          <w:sz w:val="24"/>
          <w:szCs w:val="24"/>
          <w:highlight w:val="none"/>
        </w:rPr>
      </w:pPr>
    </w:p>
    <w:p>
      <w:pPr>
        <w:pStyle w:val="18"/>
        <w:numPr>
          <w:ilvl w:val="0"/>
          <w:numId w:val="0"/>
        </w:numPr>
        <w:jc w:val="center"/>
        <w:rPr>
          <w:rFonts w:hint="eastAsia"/>
          <w:highlight w:val="none"/>
          <w:lang w:val="en-US" w:eastAsia="zh-CN"/>
        </w:rPr>
      </w:pPr>
      <w:r>
        <w:rPr>
          <w:rFonts w:hint="eastAsia" w:ascii="宋体" w:hAnsi="宋体" w:eastAsia="宋体" w:cs="宋体"/>
          <w:b/>
          <w:sz w:val="24"/>
          <w:szCs w:val="24"/>
          <w:highlight w:val="none"/>
        </w:rPr>
        <w:t>技术规格偏离表</w:t>
      </w:r>
    </w:p>
    <w:p>
      <w:pPr>
        <w:spacing w:line="300" w:lineRule="auto"/>
        <w:jc w:val="center"/>
        <w:rPr>
          <w:rFonts w:hint="eastAsia" w:ascii="宋体" w:hAnsi="宋体" w:eastAsia="宋体" w:cs="宋体"/>
          <w:b/>
          <w:sz w:val="24"/>
          <w:szCs w:val="24"/>
          <w:highlight w:val="none"/>
        </w:rPr>
      </w:pPr>
    </w:p>
    <w:p>
      <w:pPr>
        <w:spacing w:line="30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tbl>
      <w:tblPr>
        <w:tblStyle w:val="1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62"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800"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招标规格</w:t>
            </w:r>
          </w:p>
        </w:tc>
        <w:tc>
          <w:tcPr>
            <w:tcW w:w="1661"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投标规格</w:t>
            </w:r>
          </w:p>
        </w:tc>
        <w:tc>
          <w:tcPr>
            <w:tcW w:w="2744"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bl>
    <w:p>
      <w:pPr>
        <w:spacing w:line="300" w:lineRule="auto"/>
        <w:rPr>
          <w:rFonts w:hint="eastAsia" w:ascii="宋体" w:hAnsi="宋体" w:eastAsia="宋体" w:cs="宋体"/>
          <w:sz w:val="24"/>
          <w:szCs w:val="24"/>
          <w:highlight w:val="none"/>
        </w:rPr>
      </w:pPr>
    </w:p>
    <w:p>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spacing w:line="300" w:lineRule="auto"/>
        <w:ind w:firstLine="480"/>
        <w:rPr>
          <w:rFonts w:hint="eastAsia" w:ascii="宋体" w:hAnsi="宋体" w:eastAsia="宋体" w:cs="宋体"/>
          <w:sz w:val="24"/>
          <w:szCs w:val="24"/>
          <w:highlight w:val="none"/>
        </w:rPr>
      </w:pPr>
    </w:p>
    <w:p>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highlight w:val="none"/>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pPr>
        <w:spacing w:line="360" w:lineRule="auto"/>
        <w:jc w:val="center"/>
        <w:rPr>
          <w:rFonts w:hint="eastAsia" w:ascii="黑体" w:hAnsi="黑体" w:eastAsia="黑体" w:cs="黑体"/>
          <w:b w:val="0"/>
          <w:bCs/>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numPr>
          <w:ilvl w:val="0"/>
          <w:numId w:val="5"/>
        </w:numPr>
        <w:spacing w:line="30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商务条款偏离表</w:t>
      </w:r>
    </w:p>
    <w:p>
      <w:pPr>
        <w:pStyle w:val="2"/>
        <w:numPr>
          <w:ilvl w:val="0"/>
          <w:numId w:val="0"/>
        </w:numPr>
        <w:jc w:val="center"/>
        <w:rPr>
          <w:rFonts w:hint="eastAsia"/>
        </w:rPr>
      </w:pPr>
      <w:r>
        <w:rPr>
          <w:rFonts w:hint="eastAsia" w:ascii="宋体" w:hAnsi="宋体" w:eastAsia="宋体" w:cs="宋体"/>
          <w:b/>
          <w:sz w:val="24"/>
          <w:szCs w:val="24"/>
          <w:highlight w:val="none"/>
        </w:rPr>
        <w:t>商务条款偏离表</w:t>
      </w:r>
    </w:p>
    <w:p>
      <w:pPr>
        <w:spacing w:line="300" w:lineRule="auto"/>
        <w:rPr>
          <w:rFonts w:eastAsia="楷体_GB2312"/>
          <w:bCs/>
          <w:sz w:val="24"/>
        </w:rPr>
      </w:pPr>
      <w:r>
        <w:rPr>
          <w:rFonts w:hint="eastAsia" w:eastAsia="楷体_GB2312"/>
          <w:bCs/>
          <w:sz w:val="24"/>
        </w:rPr>
        <w:t xml:space="preserve"> </w:t>
      </w:r>
    </w:p>
    <w:tbl>
      <w:tblPr>
        <w:tblStyle w:val="19"/>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835"/>
        <w:gridCol w:w="273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r>
              <w:rPr>
                <w:rFonts w:eastAsia="楷体_GB2312"/>
                <w:sz w:val="24"/>
              </w:rPr>
              <w:t>序号</w:t>
            </w:r>
          </w:p>
        </w:tc>
        <w:tc>
          <w:tcPr>
            <w:tcW w:w="2835" w:type="dxa"/>
            <w:noWrap w:val="0"/>
            <w:vAlign w:val="center"/>
          </w:tcPr>
          <w:p>
            <w:pPr>
              <w:spacing w:line="300" w:lineRule="auto"/>
              <w:jc w:val="center"/>
              <w:rPr>
                <w:rFonts w:eastAsia="楷体_GB2312"/>
                <w:sz w:val="24"/>
              </w:rPr>
            </w:pPr>
            <w:r>
              <w:rPr>
                <w:rFonts w:hint="eastAsia" w:eastAsia="楷体_GB2312"/>
                <w:sz w:val="24"/>
              </w:rPr>
              <w:t>采购文件</w:t>
            </w:r>
            <w:r>
              <w:rPr>
                <w:rFonts w:eastAsia="楷体_GB2312"/>
                <w:sz w:val="24"/>
              </w:rPr>
              <w:t>商务条款</w:t>
            </w:r>
          </w:p>
        </w:tc>
        <w:tc>
          <w:tcPr>
            <w:tcW w:w="2730" w:type="dxa"/>
            <w:noWrap w:val="0"/>
            <w:vAlign w:val="center"/>
          </w:tcPr>
          <w:p>
            <w:pPr>
              <w:spacing w:line="300" w:lineRule="auto"/>
              <w:jc w:val="center"/>
              <w:rPr>
                <w:rFonts w:eastAsia="楷体_GB2312"/>
                <w:sz w:val="24"/>
              </w:rPr>
            </w:pPr>
            <w:r>
              <w:rPr>
                <w:rFonts w:hint="eastAsia" w:eastAsia="楷体_GB2312"/>
                <w:sz w:val="24"/>
              </w:rPr>
              <w:t>响应文件</w:t>
            </w:r>
            <w:r>
              <w:rPr>
                <w:rFonts w:eastAsia="楷体_GB2312"/>
                <w:sz w:val="24"/>
              </w:rPr>
              <w:t>商务条款</w:t>
            </w:r>
          </w:p>
        </w:tc>
        <w:tc>
          <w:tcPr>
            <w:tcW w:w="1890" w:type="dxa"/>
            <w:noWrap w:val="0"/>
            <w:vAlign w:val="center"/>
          </w:tcPr>
          <w:p>
            <w:pPr>
              <w:spacing w:line="300" w:lineRule="auto"/>
              <w:jc w:val="center"/>
              <w:rPr>
                <w:rFonts w:eastAsia="楷体_GB2312"/>
                <w:sz w:val="24"/>
              </w:rPr>
            </w:pPr>
            <w:r>
              <w:rPr>
                <w:rFonts w:hint="eastAsia" w:eastAsia="楷体_GB2312"/>
                <w:sz w:val="24"/>
              </w:rPr>
              <w:t>偏离</w:t>
            </w:r>
            <w:r>
              <w:rPr>
                <w:rFonts w:eastAsia="楷体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r>
              <w:rPr>
                <w:rFonts w:eastAsia="楷体_GB2312"/>
                <w:sz w:val="24"/>
              </w:rPr>
              <w:t>1</w:t>
            </w:r>
          </w:p>
        </w:tc>
        <w:tc>
          <w:tcPr>
            <w:tcW w:w="2835" w:type="dxa"/>
            <w:noWrap w:val="0"/>
            <w:vAlign w:val="center"/>
          </w:tcPr>
          <w:p>
            <w:pPr>
              <w:spacing w:line="300" w:lineRule="auto"/>
              <w:jc w:val="center"/>
              <w:rPr>
                <w:rFonts w:eastAsia="楷体_GB2312"/>
                <w:sz w:val="24"/>
              </w:rPr>
            </w:pPr>
            <w:r>
              <w:rPr>
                <w:rFonts w:hint="eastAsia" w:ascii="宋体" w:hAnsi="宋体" w:eastAsia="宋体" w:cs="宋体"/>
                <w:sz w:val="24"/>
                <w:lang w:val="en-US" w:eastAsia="zh-CN"/>
              </w:rPr>
              <w:t>交货时间</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r>
              <w:rPr>
                <w:rFonts w:eastAsia="楷体_GB2312"/>
                <w:sz w:val="24"/>
              </w:rPr>
              <w:t>2</w:t>
            </w:r>
          </w:p>
        </w:tc>
        <w:tc>
          <w:tcPr>
            <w:tcW w:w="2835" w:type="dxa"/>
            <w:noWrap w:val="0"/>
            <w:vAlign w:val="center"/>
          </w:tcPr>
          <w:p>
            <w:pPr>
              <w:spacing w:line="300" w:lineRule="auto"/>
              <w:jc w:val="center"/>
              <w:rPr>
                <w:rFonts w:eastAsia="楷体_GB2312"/>
                <w:sz w:val="24"/>
              </w:rPr>
            </w:pPr>
            <w:r>
              <w:rPr>
                <w:rFonts w:hint="eastAsia" w:ascii="宋体" w:hAnsi="宋体" w:eastAsia="宋体" w:cs="宋体"/>
                <w:sz w:val="24"/>
                <w:lang w:val="en-US" w:eastAsia="zh-CN"/>
              </w:rPr>
              <w:t>交货地点</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r>
              <w:rPr>
                <w:rFonts w:eastAsia="楷体_GB2312"/>
                <w:sz w:val="24"/>
              </w:rPr>
              <w:t>3</w:t>
            </w:r>
          </w:p>
        </w:tc>
        <w:tc>
          <w:tcPr>
            <w:tcW w:w="2835" w:type="dxa"/>
            <w:noWrap w:val="0"/>
            <w:vAlign w:val="center"/>
          </w:tcPr>
          <w:p>
            <w:pPr>
              <w:spacing w:line="300" w:lineRule="auto"/>
              <w:jc w:val="center"/>
              <w:rPr>
                <w:rFonts w:eastAsia="楷体_GB2312"/>
                <w:sz w:val="24"/>
              </w:rPr>
            </w:pPr>
            <w:r>
              <w:rPr>
                <w:rFonts w:hint="eastAsia" w:ascii="宋体" w:hAnsi="宋体" w:eastAsia="宋体" w:cs="宋体"/>
                <w:sz w:val="24"/>
                <w:lang w:val="en-US" w:eastAsia="zh-CN"/>
              </w:rPr>
              <w:t>质量标准</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r>
              <w:rPr>
                <w:rFonts w:eastAsia="楷体_GB2312"/>
                <w:sz w:val="24"/>
              </w:rPr>
              <w:t>4</w:t>
            </w:r>
          </w:p>
        </w:tc>
        <w:tc>
          <w:tcPr>
            <w:tcW w:w="2835" w:type="dxa"/>
            <w:noWrap w:val="0"/>
            <w:vAlign w:val="center"/>
          </w:tcPr>
          <w:p>
            <w:pPr>
              <w:spacing w:line="300" w:lineRule="auto"/>
              <w:jc w:val="center"/>
              <w:rPr>
                <w:rFonts w:eastAsia="楷体_GB2312"/>
                <w:sz w:val="24"/>
              </w:rPr>
            </w:pPr>
            <w:r>
              <w:rPr>
                <w:rFonts w:hint="eastAsia" w:ascii="宋体" w:hAnsi="宋体" w:eastAsia="宋体" w:cs="宋体"/>
                <w:sz w:val="24"/>
                <w:lang w:val="en-US" w:eastAsia="zh-CN"/>
              </w:rPr>
              <w:t>合同履行期限</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r>
              <w:rPr>
                <w:rFonts w:eastAsia="楷体_GB2312"/>
                <w:sz w:val="24"/>
              </w:rPr>
              <w:t>5</w:t>
            </w:r>
          </w:p>
        </w:tc>
        <w:tc>
          <w:tcPr>
            <w:tcW w:w="2835" w:type="dxa"/>
            <w:noWrap w:val="0"/>
            <w:vAlign w:val="center"/>
          </w:tcPr>
          <w:p>
            <w:pPr>
              <w:spacing w:line="300" w:lineRule="auto"/>
              <w:jc w:val="center"/>
              <w:rPr>
                <w:rFonts w:eastAsia="楷体_GB2312"/>
                <w:sz w:val="24"/>
              </w:rPr>
            </w:pPr>
            <w:r>
              <w:rPr>
                <w:rFonts w:hint="eastAsia" w:ascii="宋体" w:hAnsi="宋体" w:eastAsia="宋体" w:cs="宋体"/>
                <w:sz w:val="24"/>
                <w:lang w:val="en-US" w:eastAsia="zh-CN"/>
              </w:rPr>
              <w:t>质保要求</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eastAsia="楷体_GB2312"/>
                <w:sz w:val="24"/>
                <w:lang w:val="en-US" w:eastAsia="zh-CN"/>
              </w:rPr>
            </w:pPr>
            <w:r>
              <w:rPr>
                <w:rFonts w:hint="eastAsia" w:eastAsia="楷体_GB2312"/>
                <w:sz w:val="24"/>
                <w:lang w:val="en-US" w:eastAsia="zh-CN"/>
              </w:rPr>
              <w:t>6</w:t>
            </w:r>
          </w:p>
        </w:tc>
        <w:tc>
          <w:tcPr>
            <w:tcW w:w="2835" w:type="dxa"/>
            <w:noWrap w:val="0"/>
            <w:vAlign w:val="center"/>
          </w:tcPr>
          <w:p>
            <w:pPr>
              <w:spacing w:line="300" w:lineRule="auto"/>
              <w:jc w:val="center"/>
              <w:rPr>
                <w:rFonts w:eastAsia="楷体_GB2312"/>
                <w:sz w:val="24"/>
              </w:rPr>
            </w:pPr>
            <w:r>
              <w:rPr>
                <w:rFonts w:hint="eastAsia" w:ascii="宋体" w:hAnsi="宋体" w:eastAsia="宋体" w:cs="宋体"/>
                <w:sz w:val="24"/>
                <w:lang w:val="en-US" w:eastAsia="zh-CN"/>
              </w:rPr>
              <w:t>投标有效期</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eastAsia="楷体_GB2312"/>
                <w:sz w:val="24"/>
              </w:rPr>
            </w:pPr>
          </w:p>
        </w:tc>
        <w:tc>
          <w:tcPr>
            <w:tcW w:w="2835" w:type="dxa"/>
            <w:noWrap w:val="0"/>
            <w:vAlign w:val="center"/>
          </w:tcPr>
          <w:p>
            <w:pPr>
              <w:spacing w:line="300" w:lineRule="auto"/>
              <w:jc w:val="center"/>
              <w:rPr>
                <w:rFonts w:eastAsia="楷体_GB2312"/>
                <w:sz w:val="24"/>
              </w:rPr>
            </w:pPr>
            <w:r>
              <w:rPr>
                <w:rFonts w:eastAsia="楷体_GB2312"/>
                <w:sz w:val="24"/>
              </w:rPr>
              <w:t>。。。。。。</w:t>
            </w: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pPr>
              <w:spacing w:line="300" w:lineRule="auto"/>
              <w:jc w:val="center"/>
              <w:rPr>
                <w:rFonts w:eastAsia="楷体_GB2312"/>
                <w:sz w:val="24"/>
              </w:rPr>
            </w:pPr>
          </w:p>
        </w:tc>
        <w:tc>
          <w:tcPr>
            <w:tcW w:w="2835" w:type="dxa"/>
            <w:noWrap w:val="0"/>
            <w:vAlign w:val="center"/>
          </w:tcPr>
          <w:p>
            <w:pPr>
              <w:spacing w:line="300" w:lineRule="auto"/>
              <w:jc w:val="center"/>
              <w:rPr>
                <w:rFonts w:eastAsia="楷体_GB2312"/>
                <w:sz w:val="24"/>
              </w:rPr>
            </w:pP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pPr>
              <w:spacing w:line="300" w:lineRule="auto"/>
              <w:jc w:val="center"/>
              <w:rPr>
                <w:rFonts w:eastAsia="楷体_GB2312"/>
                <w:sz w:val="24"/>
              </w:rPr>
            </w:pPr>
          </w:p>
        </w:tc>
        <w:tc>
          <w:tcPr>
            <w:tcW w:w="2835" w:type="dxa"/>
            <w:noWrap w:val="0"/>
            <w:vAlign w:val="center"/>
          </w:tcPr>
          <w:p>
            <w:pPr>
              <w:spacing w:line="300" w:lineRule="auto"/>
              <w:jc w:val="center"/>
              <w:rPr>
                <w:rFonts w:eastAsia="楷体_GB2312"/>
                <w:sz w:val="24"/>
              </w:rPr>
            </w:pPr>
          </w:p>
        </w:tc>
        <w:tc>
          <w:tcPr>
            <w:tcW w:w="2730" w:type="dxa"/>
            <w:noWrap w:val="0"/>
            <w:vAlign w:val="top"/>
          </w:tcPr>
          <w:p>
            <w:pPr>
              <w:spacing w:line="300" w:lineRule="auto"/>
              <w:rPr>
                <w:rFonts w:eastAsia="楷体_GB2312"/>
                <w:sz w:val="24"/>
              </w:rPr>
            </w:pPr>
          </w:p>
        </w:tc>
        <w:tc>
          <w:tcPr>
            <w:tcW w:w="1890" w:type="dxa"/>
            <w:noWrap w:val="0"/>
            <w:vAlign w:val="top"/>
          </w:tcPr>
          <w:p>
            <w:pPr>
              <w:spacing w:line="300" w:lineRule="auto"/>
              <w:rPr>
                <w:rFonts w:eastAsia="楷体_GB2312"/>
                <w:sz w:val="24"/>
              </w:rPr>
            </w:pPr>
          </w:p>
        </w:tc>
      </w:tr>
    </w:tbl>
    <w:p>
      <w:pPr>
        <w:spacing w:line="300" w:lineRule="auto"/>
        <w:rPr>
          <w:rFonts w:eastAsia="楷体_GB2312"/>
          <w:sz w:val="24"/>
        </w:rPr>
      </w:pPr>
    </w:p>
    <w:p>
      <w:pPr>
        <w:spacing w:line="300" w:lineRule="auto"/>
        <w:rPr>
          <w:rFonts w:eastAsia="楷体_GB2312"/>
          <w:sz w:val="24"/>
        </w:rPr>
      </w:pPr>
    </w:p>
    <w:p>
      <w:pPr>
        <w:pStyle w:val="9"/>
        <w:tabs>
          <w:tab w:val="left" w:pos="5580"/>
        </w:tabs>
        <w:spacing w:before="120" w:line="360" w:lineRule="auto"/>
        <w:rPr>
          <w:rFonts w:ascii="Times New Roman" w:hAnsi="Times New Roman" w:eastAsia="楷体_GB2312"/>
          <w:sz w:val="24"/>
          <w:szCs w:val="24"/>
        </w:rPr>
      </w:pPr>
      <w:r>
        <w:rPr>
          <w:rFonts w:hint="eastAsia" w:ascii="Times New Roman" w:hAnsi="Times New Roman" w:eastAsia="楷体_GB2312"/>
          <w:sz w:val="24"/>
          <w:szCs w:val="24"/>
          <w:lang w:eastAsia="zh-CN"/>
        </w:rPr>
        <w:t>供应商</w:t>
      </w:r>
      <w:r>
        <w:rPr>
          <w:rFonts w:ascii="Times New Roman" w:hAnsi="Times New Roman" w:eastAsia="楷体_GB2312"/>
          <w:sz w:val="24"/>
          <w:szCs w:val="24"/>
        </w:rPr>
        <w:t>名称（盖公章）：</w:t>
      </w:r>
      <w:r>
        <w:rPr>
          <w:rFonts w:ascii="Times New Roman" w:hAnsi="Times New Roman" w:eastAsia="楷体_GB2312"/>
          <w:sz w:val="24"/>
          <w:szCs w:val="24"/>
          <w:u w:val="single"/>
        </w:rPr>
        <w:t xml:space="preserve">                       </w:t>
      </w:r>
    </w:p>
    <w:p>
      <w:pPr>
        <w:spacing w:line="300" w:lineRule="auto"/>
        <w:rPr>
          <w:rFonts w:hint="eastAsia" w:ascii="宋体" w:hAnsi="宋体" w:eastAsia="宋体" w:cs="宋体"/>
          <w:b/>
          <w:sz w:val="24"/>
          <w:szCs w:val="24"/>
          <w:highlight w:val="none"/>
          <w:lang w:val="en-US" w:eastAsia="zh-CN"/>
        </w:rPr>
      </w:pPr>
      <w:r>
        <w:rPr>
          <w:rFonts w:hint="eastAsia" w:eastAsia="楷体_GB2312"/>
          <w:sz w:val="24"/>
        </w:rPr>
        <w:t>法定代表人或其委托代理人（签字或盖章）</w:t>
      </w:r>
      <w:r>
        <w:rPr>
          <w:rFonts w:eastAsia="楷体_GB2312"/>
          <w:sz w:val="24"/>
        </w:rPr>
        <w:t>：</w:t>
      </w:r>
      <w:r>
        <w:rPr>
          <w:rFonts w:eastAsia="楷体_GB2312"/>
          <w:sz w:val="24"/>
          <w:u w:val="single"/>
        </w:rPr>
        <w:t xml:space="preserve">                 </w:t>
      </w:r>
    </w:p>
    <w:p>
      <w:pPr>
        <w:spacing w:line="360" w:lineRule="auto"/>
        <w:jc w:val="both"/>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pStyle w:val="2"/>
        <w:rPr>
          <w:rFonts w:hint="eastAsia" w:ascii="宋体" w:hAnsi="宋体" w:eastAsia="宋体" w:cs="宋体"/>
          <w:b/>
          <w:sz w:val="24"/>
          <w:szCs w:val="24"/>
          <w:highlight w:val="none"/>
          <w:lang w:val="en-US" w:eastAsia="zh-CN"/>
        </w:rPr>
      </w:pPr>
    </w:p>
    <w:p>
      <w:pPr>
        <w:spacing w:line="360" w:lineRule="auto"/>
        <w:jc w:val="both"/>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lang w:val="en-US" w:eastAsia="zh-CN"/>
        </w:rPr>
        <w:t>、产品配置情况、售后服务措施</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pPr>
        <w:pStyle w:val="23"/>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pPr>
        <w:pStyle w:val="23"/>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highlight w:val="none"/>
          <w:lang w:val="en-US" w:eastAsia="zh-CN"/>
        </w:rPr>
        <w:t>企业实力</w:t>
      </w:r>
      <w:r>
        <w:rPr>
          <w:rFonts w:hint="eastAsia" w:ascii="宋体" w:hAnsi="宋体" w:eastAsia="宋体" w:cs="宋体"/>
          <w:sz w:val="24"/>
          <w:szCs w:val="24"/>
          <w:highlight w:val="none"/>
          <w:lang w:val="en-US" w:eastAsia="zh-CN"/>
        </w:rPr>
        <w:t>；</w:t>
      </w:r>
    </w:p>
    <w:p>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lang w:val="en-US" w:eastAsia="zh-CN"/>
        </w:rPr>
        <w:t>售后服务方案</w:t>
      </w:r>
      <w:r>
        <w:rPr>
          <w:rFonts w:hint="eastAsia" w:ascii="宋体" w:hAnsi="宋体" w:eastAsia="宋体" w:cs="宋体"/>
          <w:color w:val="000000"/>
          <w:kern w:val="0"/>
          <w:sz w:val="24"/>
          <w:szCs w:val="24"/>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pPr>
        <w:pStyle w:val="6"/>
        <w:rPr>
          <w:rFonts w:hint="eastAsia" w:ascii="宋体" w:hAnsi="宋体" w:eastAsia="宋体" w:cs="宋体"/>
          <w:sz w:val="24"/>
          <w:szCs w:val="24"/>
          <w:highlight w:val="none"/>
        </w:rPr>
      </w:pPr>
    </w:p>
    <w:p>
      <w:pPr>
        <w:spacing w:line="360" w:lineRule="auto"/>
        <w:ind w:firstLine="530" w:firstLineChars="200"/>
        <w:jc w:val="both"/>
        <w:rPr>
          <w:rFonts w:hint="eastAsia" w:ascii="宋体" w:hAnsi="宋体" w:eastAsia="宋体" w:cs="宋体"/>
          <w:b/>
          <w:snapToGrid w:val="0"/>
          <w:spacing w:val="12"/>
          <w:kern w:val="0"/>
          <w:sz w:val="24"/>
          <w:szCs w:val="24"/>
          <w:highlight w:val="none"/>
        </w:rPr>
      </w:pPr>
    </w:p>
    <w:p>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F87E72"/>
    <w:multiLevelType w:val="singleLevel"/>
    <w:tmpl w:val="C0F87E72"/>
    <w:lvl w:ilvl="0" w:tentative="0">
      <w:start w:val="7"/>
      <w:numFmt w:val="chineseCounting"/>
      <w:suff w:val="nothing"/>
      <w:lvlText w:val="%1、"/>
      <w:lvlJc w:val="left"/>
      <w:rPr>
        <w:rFonts w:hint="eastAsia"/>
      </w:rPr>
    </w:lvl>
  </w:abstractNum>
  <w:abstractNum w:abstractNumId="1">
    <w:nsid w:val="F17C7719"/>
    <w:multiLevelType w:val="singleLevel"/>
    <w:tmpl w:val="F17C7719"/>
    <w:lvl w:ilvl="0" w:tentative="0">
      <w:start w:val="2"/>
      <w:numFmt w:val="chineseCounting"/>
      <w:suff w:val="nothing"/>
      <w:lvlText w:val="%1、"/>
      <w:lvlJc w:val="left"/>
      <w:rPr>
        <w:rFonts w:hint="eastAsia"/>
        <w:b/>
        <w:bCs/>
      </w:rPr>
    </w:lvl>
  </w:abstractNum>
  <w:abstractNum w:abstractNumId="2">
    <w:nsid w:val="23EDB088"/>
    <w:multiLevelType w:val="singleLevel"/>
    <w:tmpl w:val="23EDB088"/>
    <w:lvl w:ilvl="0" w:tentative="0">
      <w:start w:val="1"/>
      <w:numFmt w:val="decimal"/>
      <w:suff w:val="nothing"/>
      <w:lvlText w:val="（%1）"/>
      <w:lvlJc w:val="left"/>
    </w:lvl>
  </w:abstractNum>
  <w:abstractNum w:abstractNumId="3">
    <w:nsid w:val="50B1A38D"/>
    <w:multiLevelType w:val="singleLevel"/>
    <w:tmpl w:val="50B1A38D"/>
    <w:lvl w:ilvl="0" w:tentative="0">
      <w:start w:val="1"/>
      <w:numFmt w:val="decimal"/>
      <w:lvlText w:val="%1."/>
      <w:lvlJc w:val="left"/>
      <w:pPr>
        <w:ind w:left="425" w:hanging="425"/>
      </w:pPr>
      <w:rPr>
        <w:rFonts w:hint="default"/>
      </w:rPr>
    </w:lvl>
  </w:abstractNum>
  <w:abstractNum w:abstractNumId="4">
    <w:nsid w:val="7DDDE13F"/>
    <w:multiLevelType w:val="singleLevel"/>
    <w:tmpl w:val="7DDDE13F"/>
    <w:lvl w:ilvl="0" w:tentative="0">
      <w:start w:val="2"/>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2E01C1"/>
    <w:rsid w:val="00557E7A"/>
    <w:rsid w:val="0099011A"/>
    <w:rsid w:val="012D40A0"/>
    <w:rsid w:val="012D49E7"/>
    <w:rsid w:val="01A84053"/>
    <w:rsid w:val="02447FC9"/>
    <w:rsid w:val="025D6187"/>
    <w:rsid w:val="026A00EF"/>
    <w:rsid w:val="026F5B1B"/>
    <w:rsid w:val="02A429BD"/>
    <w:rsid w:val="02E334E5"/>
    <w:rsid w:val="02E86081"/>
    <w:rsid w:val="035717DD"/>
    <w:rsid w:val="03897536"/>
    <w:rsid w:val="03C74493"/>
    <w:rsid w:val="03F97469"/>
    <w:rsid w:val="04592E9D"/>
    <w:rsid w:val="048939E6"/>
    <w:rsid w:val="04C51730"/>
    <w:rsid w:val="05104A00"/>
    <w:rsid w:val="053321C4"/>
    <w:rsid w:val="05B2182D"/>
    <w:rsid w:val="05C63938"/>
    <w:rsid w:val="05FA635A"/>
    <w:rsid w:val="06171F69"/>
    <w:rsid w:val="0676347A"/>
    <w:rsid w:val="06A82EB5"/>
    <w:rsid w:val="071A149F"/>
    <w:rsid w:val="07DE58B6"/>
    <w:rsid w:val="07E850FA"/>
    <w:rsid w:val="08217F14"/>
    <w:rsid w:val="08650020"/>
    <w:rsid w:val="087D783A"/>
    <w:rsid w:val="087F3AF1"/>
    <w:rsid w:val="08CC2878"/>
    <w:rsid w:val="08E80A7E"/>
    <w:rsid w:val="09405DC5"/>
    <w:rsid w:val="09413A40"/>
    <w:rsid w:val="09520DAD"/>
    <w:rsid w:val="09793822"/>
    <w:rsid w:val="09A27416"/>
    <w:rsid w:val="09AA4D5C"/>
    <w:rsid w:val="09B9389E"/>
    <w:rsid w:val="0AC90DEF"/>
    <w:rsid w:val="0ACE6829"/>
    <w:rsid w:val="0B0963D2"/>
    <w:rsid w:val="0B81389B"/>
    <w:rsid w:val="0BC91BF7"/>
    <w:rsid w:val="0BCD088E"/>
    <w:rsid w:val="0BE353DF"/>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B3964"/>
    <w:rsid w:val="0F35333C"/>
    <w:rsid w:val="0FCA5A2E"/>
    <w:rsid w:val="0FDB1AE4"/>
    <w:rsid w:val="10BD4A51"/>
    <w:rsid w:val="10C722AA"/>
    <w:rsid w:val="111863FF"/>
    <w:rsid w:val="113D0677"/>
    <w:rsid w:val="125178CD"/>
    <w:rsid w:val="128518DC"/>
    <w:rsid w:val="128D3011"/>
    <w:rsid w:val="12986D57"/>
    <w:rsid w:val="12A4166C"/>
    <w:rsid w:val="12D1759B"/>
    <w:rsid w:val="12D93FBD"/>
    <w:rsid w:val="13734957"/>
    <w:rsid w:val="14062CD2"/>
    <w:rsid w:val="14DC067A"/>
    <w:rsid w:val="14FA4DEC"/>
    <w:rsid w:val="152529BA"/>
    <w:rsid w:val="154D0C92"/>
    <w:rsid w:val="15826B8D"/>
    <w:rsid w:val="159D280F"/>
    <w:rsid w:val="15C72CF1"/>
    <w:rsid w:val="15F31BF6"/>
    <w:rsid w:val="16331F1D"/>
    <w:rsid w:val="16A3265C"/>
    <w:rsid w:val="17B031E4"/>
    <w:rsid w:val="17B31280"/>
    <w:rsid w:val="17C074F9"/>
    <w:rsid w:val="17EF6B49"/>
    <w:rsid w:val="18063DD0"/>
    <w:rsid w:val="18B249A7"/>
    <w:rsid w:val="18C97EE3"/>
    <w:rsid w:val="18DC1E7D"/>
    <w:rsid w:val="18FC6A89"/>
    <w:rsid w:val="198C0526"/>
    <w:rsid w:val="19CF6702"/>
    <w:rsid w:val="1A044A55"/>
    <w:rsid w:val="1A2054AF"/>
    <w:rsid w:val="1A272182"/>
    <w:rsid w:val="1A680EA2"/>
    <w:rsid w:val="1ADF2787"/>
    <w:rsid w:val="1B130C8A"/>
    <w:rsid w:val="1B8B7FBE"/>
    <w:rsid w:val="1BB71E1E"/>
    <w:rsid w:val="1BD56AE1"/>
    <w:rsid w:val="1C365FDC"/>
    <w:rsid w:val="1D3722A9"/>
    <w:rsid w:val="1D574A01"/>
    <w:rsid w:val="1DAD3BCF"/>
    <w:rsid w:val="1DE06B47"/>
    <w:rsid w:val="1DEE0FC0"/>
    <w:rsid w:val="1DF3687A"/>
    <w:rsid w:val="1E2C3B3A"/>
    <w:rsid w:val="1E4B7FCA"/>
    <w:rsid w:val="1E644A4C"/>
    <w:rsid w:val="1F6265E9"/>
    <w:rsid w:val="1FA2386F"/>
    <w:rsid w:val="1FE94DE4"/>
    <w:rsid w:val="20000DDB"/>
    <w:rsid w:val="20146634"/>
    <w:rsid w:val="20423BBB"/>
    <w:rsid w:val="2076109D"/>
    <w:rsid w:val="20CE2B02"/>
    <w:rsid w:val="20EE6AA5"/>
    <w:rsid w:val="21B869D3"/>
    <w:rsid w:val="22274D44"/>
    <w:rsid w:val="225B2FAD"/>
    <w:rsid w:val="25536560"/>
    <w:rsid w:val="255B4D05"/>
    <w:rsid w:val="25791E25"/>
    <w:rsid w:val="258F690A"/>
    <w:rsid w:val="25D4755F"/>
    <w:rsid w:val="25DC786C"/>
    <w:rsid w:val="25DF1492"/>
    <w:rsid w:val="269428FC"/>
    <w:rsid w:val="269A0AE9"/>
    <w:rsid w:val="269B5870"/>
    <w:rsid w:val="26BA7440"/>
    <w:rsid w:val="26C630C5"/>
    <w:rsid w:val="26CF3D56"/>
    <w:rsid w:val="27177C27"/>
    <w:rsid w:val="2718776E"/>
    <w:rsid w:val="27C46AB9"/>
    <w:rsid w:val="27D72D69"/>
    <w:rsid w:val="27E3310C"/>
    <w:rsid w:val="285F1B6F"/>
    <w:rsid w:val="287A54D7"/>
    <w:rsid w:val="28D64DCE"/>
    <w:rsid w:val="29191247"/>
    <w:rsid w:val="29666EEF"/>
    <w:rsid w:val="29D16BED"/>
    <w:rsid w:val="29FC16BA"/>
    <w:rsid w:val="2A1A6F3D"/>
    <w:rsid w:val="2A656B45"/>
    <w:rsid w:val="2AC62C21"/>
    <w:rsid w:val="2B073B87"/>
    <w:rsid w:val="2B3D52C3"/>
    <w:rsid w:val="2B545D8F"/>
    <w:rsid w:val="2B8305B9"/>
    <w:rsid w:val="2BE72C93"/>
    <w:rsid w:val="2BFD486D"/>
    <w:rsid w:val="2C2649BC"/>
    <w:rsid w:val="2C534414"/>
    <w:rsid w:val="2CB8042D"/>
    <w:rsid w:val="2D154C3C"/>
    <w:rsid w:val="2D45530D"/>
    <w:rsid w:val="2E0B376C"/>
    <w:rsid w:val="2EA4276B"/>
    <w:rsid w:val="2EB63AC4"/>
    <w:rsid w:val="2EDB7436"/>
    <w:rsid w:val="2F3C1703"/>
    <w:rsid w:val="2F4933E9"/>
    <w:rsid w:val="2F914837"/>
    <w:rsid w:val="2FAD0853"/>
    <w:rsid w:val="2FDA4501"/>
    <w:rsid w:val="302D0FC7"/>
    <w:rsid w:val="309E5534"/>
    <w:rsid w:val="30DB1D8B"/>
    <w:rsid w:val="310D1F57"/>
    <w:rsid w:val="31682ABF"/>
    <w:rsid w:val="31A67308"/>
    <w:rsid w:val="31EE5089"/>
    <w:rsid w:val="3291083F"/>
    <w:rsid w:val="32A334CA"/>
    <w:rsid w:val="32CA4C22"/>
    <w:rsid w:val="32CA6A1F"/>
    <w:rsid w:val="32F8794B"/>
    <w:rsid w:val="33141D7F"/>
    <w:rsid w:val="3316226B"/>
    <w:rsid w:val="33A10688"/>
    <w:rsid w:val="33B102A6"/>
    <w:rsid w:val="34DE241A"/>
    <w:rsid w:val="35367D33"/>
    <w:rsid w:val="353D57BF"/>
    <w:rsid w:val="358E6D8B"/>
    <w:rsid w:val="364B5942"/>
    <w:rsid w:val="37866D54"/>
    <w:rsid w:val="37892E7C"/>
    <w:rsid w:val="379C7920"/>
    <w:rsid w:val="37DF6972"/>
    <w:rsid w:val="37DF75F7"/>
    <w:rsid w:val="385A2721"/>
    <w:rsid w:val="38C17F8F"/>
    <w:rsid w:val="38DB7B8C"/>
    <w:rsid w:val="3983323D"/>
    <w:rsid w:val="39AB63C9"/>
    <w:rsid w:val="39C35AE3"/>
    <w:rsid w:val="3A563FC1"/>
    <w:rsid w:val="3B074AF8"/>
    <w:rsid w:val="3B143534"/>
    <w:rsid w:val="3B7B3443"/>
    <w:rsid w:val="3B8274A1"/>
    <w:rsid w:val="3C444E6A"/>
    <w:rsid w:val="3CA75258"/>
    <w:rsid w:val="3D195018"/>
    <w:rsid w:val="3D291124"/>
    <w:rsid w:val="3D3334D4"/>
    <w:rsid w:val="3D8243B7"/>
    <w:rsid w:val="3DA556F2"/>
    <w:rsid w:val="3E014244"/>
    <w:rsid w:val="3E11779E"/>
    <w:rsid w:val="3E136A06"/>
    <w:rsid w:val="3EAB2402"/>
    <w:rsid w:val="3EB66066"/>
    <w:rsid w:val="3F8F3AD1"/>
    <w:rsid w:val="3FA96941"/>
    <w:rsid w:val="3FC02324"/>
    <w:rsid w:val="3FC72940"/>
    <w:rsid w:val="40275281"/>
    <w:rsid w:val="41182C00"/>
    <w:rsid w:val="41264774"/>
    <w:rsid w:val="412A1D04"/>
    <w:rsid w:val="41366B0D"/>
    <w:rsid w:val="426C0B40"/>
    <w:rsid w:val="42CD2641"/>
    <w:rsid w:val="42F32C0F"/>
    <w:rsid w:val="431C61C8"/>
    <w:rsid w:val="43624F2B"/>
    <w:rsid w:val="43854020"/>
    <w:rsid w:val="442D1DCE"/>
    <w:rsid w:val="447863BA"/>
    <w:rsid w:val="44D307F5"/>
    <w:rsid w:val="4510375A"/>
    <w:rsid w:val="4571290B"/>
    <w:rsid w:val="458A7DE2"/>
    <w:rsid w:val="467767AB"/>
    <w:rsid w:val="469F45FA"/>
    <w:rsid w:val="46DF2E10"/>
    <w:rsid w:val="47132933"/>
    <w:rsid w:val="473B5C44"/>
    <w:rsid w:val="478E75D7"/>
    <w:rsid w:val="4792100D"/>
    <w:rsid w:val="4862671A"/>
    <w:rsid w:val="48722F3C"/>
    <w:rsid w:val="48AF22C8"/>
    <w:rsid w:val="494A2E38"/>
    <w:rsid w:val="4968786D"/>
    <w:rsid w:val="49A05B3F"/>
    <w:rsid w:val="49C679BB"/>
    <w:rsid w:val="49FC1BEE"/>
    <w:rsid w:val="4AB37524"/>
    <w:rsid w:val="4AB8212E"/>
    <w:rsid w:val="4B074500"/>
    <w:rsid w:val="4B0A46D6"/>
    <w:rsid w:val="4BE876F1"/>
    <w:rsid w:val="4C2C0AFC"/>
    <w:rsid w:val="4CC34850"/>
    <w:rsid w:val="4CF24CCA"/>
    <w:rsid w:val="4D040BDB"/>
    <w:rsid w:val="4D2717ED"/>
    <w:rsid w:val="4D3E746F"/>
    <w:rsid w:val="4D4B73FB"/>
    <w:rsid w:val="4D734988"/>
    <w:rsid w:val="4DBD42E3"/>
    <w:rsid w:val="4E035DB6"/>
    <w:rsid w:val="4E281379"/>
    <w:rsid w:val="4E833421"/>
    <w:rsid w:val="4E9F56A0"/>
    <w:rsid w:val="4EA2137A"/>
    <w:rsid w:val="4EA26C9E"/>
    <w:rsid w:val="4EC40281"/>
    <w:rsid w:val="4ED11A10"/>
    <w:rsid w:val="4EEE7786"/>
    <w:rsid w:val="4EFE2B32"/>
    <w:rsid w:val="4F0509F2"/>
    <w:rsid w:val="4F3F1C37"/>
    <w:rsid w:val="504E5535"/>
    <w:rsid w:val="50583AA6"/>
    <w:rsid w:val="507C12A5"/>
    <w:rsid w:val="50833564"/>
    <w:rsid w:val="50CA5BC7"/>
    <w:rsid w:val="5184053A"/>
    <w:rsid w:val="51912311"/>
    <w:rsid w:val="51A50967"/>
    <w:rsid w:val="51A6217F"/>
    <w:rsid w:val="51BA678C"/>
    <w:rsid w:val="51BD6A7F"/>
    <w:rsid w:val="51EE5BC4"/>
    <w:rsid w:val="526A473C"/>
    <w:rsid w:val="528A2F6F"/>
    <w:rsid w:val="52E33126"/>
    <w:rsid w:val="53413E4C"/>
    <w:rsid w:val="536C7627"/>
    <w:rsid w:val="538057B3"/>
    <w:rsid w:val="53966943"/>
    <w:rsid w:val="53D224B3"/>
    <w:rsid w:val="54550CA5"/>
    <w:rsid w:val="545E3D46"/>
    <w:rsid w:val="54600E18"/>
    <w:rsid w:val="54726FAD"/>
    <w:rsid w:val="549A44BD"/>
    <w:rsid w:val="54D10E25"/>
    <w:rsid w:val="54F142D9"/>
    <w:rsid w:val="54F835F9"/>
    <w:rsid w:val="55FB13CC"/>
    <w:rsid w:val="565673EC"/>
    <w:rsid w:val="56841434"/>
    <w:rsid w:val="56981066"/>
    <w:rsid w:val="56A73947"/>
    <w:rsid w:val="57062473"/>
    <w:rsid w:val="575870E9"/>
    <w:rsid w:val="57602064"/>
    <w:rsid w:val="57945CD1"/>
    <w:rsid w:val="57C83596"/>
    <w:rsid w:val="57FA3D33"/>
    <w:rsid w:val="58275392"/>
    <w:rsid w:val="58605E4B"/>
    <w:rsid w:val="58AA1BE6"/>
    <w:rsid w:val="58BE1257"/>
    <w:rsid w:val="58C116F7"/>
    <w:rsid w:val="58F01918"/>
    <w:rsid w:val="59350DEE"/>
    <w:rsid w:val="598649EC"/>
    <w:rsid w:val="59965D30"/>
    <w:rsid w:val="5997640D"/>
    <w:rsid w:val="599B3AEC"/>
    <w:rsid w:val="59F34F35"/>
    <w:rsid w:val="59F601F5"/>
    <w:rsid w:val="5A0407DB"/>
    <w:rsid w:val="5A6E37C2"/>
    <w:rsid w:val="5A7512E0"/>
    <w:rsid w:val="5A9D2814"/>
    <w:rsid w:val="5B114B60"/>
    <w:rsid w:val="5B292F60"/>
    <w:rsid w:val="5BDE751B"/>
    <w:rsid w:val="5BF45C14"/>
    <w:rsid w:val="5C6B34A4"/>
    <w:rsid w:val="5C7B5765"/>
    <w:rsid w:val="5CBA16BC"/>
    <w:rsid w:val="5CCB4F9D"/>
    <w:rsid w:val="5CD00A2F"/>
    <w:rsid w:val="5D041F64"/>
    <w:rsid w:val="5D0863A1"/>
    <w:rsid w:val="5D0C355F"/>
    <w:rsid w:val="5D5A4249"/>
    <w:rsid w:val="5DC07F3E"/>
    <w:rsid w:val="5DD5279F"/>
    <w:rsid w:val="5DE212E2"/>
    <w:rsid w:val="5EBB11EE"/>
    <w:rsid w:val="5EDD4ABE"/>
    <w:rsid w:val="5F36189D"/>
    <w:rsid w:val="5F5055BA"/>
    <w:rsid w:val="5F5B4F24"/>
    <w:rsid w:val="5FDD166B"/>
    <w:rsid w:val="60063D4B"/>
    <w:rsid w:val="605E0CC1"/>
    <w:rsid w:val="60D61108"/>
    <w:rsid w:val="60E97F34"/>
    <w:rsid w:val="611E386F"/>
    <w:rsid w:val="615F1D82"/>
    <w:rsid w:val="61637BA0"/>
    <w:rsid w:val="617759A5"/>
    <w:rsid w:val="619D2126"/>
    <w:rsid w:val="61A21C17"/>
    <w:rsid w:val="61D872FF"/>
    <w:rsid w:val="624125BB"/>
    <w:rsid w:val="624E1767"/>
    <w:rsid w:val="62682E7D"/>
    <w:rsid w:val="62976675"/>
    <w:rsid w:val="62984D49"/>
    <w:rsid w:val="62AC3ECF"/>
    <w:rsid w:val="62D80E7E"/>
    <w:rsid w:val="62E76880"/>
    <w:rsid w:val="63084CBC"/>
    <w:rsid w:val="6416019A"/>
    <w:rsid w:val="6452096F"/>
    <w:rsid w:val="64DA0E25"/>
    <w:rsid w:val="657701B6"/>
    <w:rsid w:val="659D10DD"/>
    <w:rsid w:val="65CD5DB2"/>
    <w:rsid w:val="65DF5574"/>
    <w:rsid w:val="66AB1C79"/>
    <w:rsid w:val="670277A3"/>
    <w:rsid w:val="67087B42"/>
    <w:rsid w:val="67375B86"/>
    <w:rsid w:val="6751773B"/>
    <w:rsid w:val="682C6AB4"/>
    <w:rsid w:val="68392066"/>
    <w:rsid w:val="687E2D2C"/>
    <w:rsid w:val="68C07403"/>
    <w:rsid w:val="69083E29"/>
    <w:rsid w:val="69505A45"/>
    <w:rsid w:val="69BD2E65"/>
    <w:rsid w:val="69E5416A"/>
    <w:rsid w:val="69FA391B"/>
    <w:rsid w:val="6A714AFC"/>
    <w:rsid w:val="6AF64881"/>
    <w:rsid w:val="6B0B17D8"/>
    <w:rsid w:val="6B146AB5"/>
    <w:rsid w:val="6B823269"/>
    <w:rsid w:val="6BA73DCD"/>
    <w:rsid w:val="6BBF7E61"/>
    <w:rsid w:val="6BFD5C73"/>
    <w:rsid w:val="6C7B6522"/>
    <w:rsid w:val="6C9A3DF7"/>
    <w:rsid w:val="6CEF3424"/>
    <w:rsid w:val="6D0E2C88"/>
    <w:rsid w:val="6D4922DF"/>
    <w:rsid w:val="6D8547D9"/>
    <w:rsid w:val="6D967C55"/>
    <w:rsid w:val="6DCF0324"/>
    <w:rsid w:val="6DDB7AF5"/>
    <w:rsid w:val="6DE3183D"/>
    <w:rsid w:val="6DF57323"/>
    <w:rsid w:val="6EAA1061"/>
    <w:rsid w:val="6EC47B94"/>
    <w:rsid w:val="6F851A7C"/>
    <w:rsid w:val="6FDC188B"/>
    <w:rsid w:val="6FDF5E73"/>
    <w:rsid w:val="6FE016FF"/>
    <w:rsid w:val="702847D9"/>
    <w:rsid w:val="70401CC0"/>
    <w:rsid w:val="70C41C74"/>
    <w:rsid w:val="70DA67EF"/>
    <w:rsid w:val="71343921"/>
    <w:rsid w:val="713866FA"/>
    <w:rsid w:val="715234B1"/>
    <w:rsid w:val="718A5F31"/>
    <w:rsid w:val="71D329C4"/>
    <w:rsid w:val="71DA6389"/>
    <w:rsid w:val="71EF4807"/>
    <w:rsid w:val="71F25676"/>
    <w:rsid w:val="72426F81"/>
    <w:rsid w:val="726447C6"/>
    <w:rsid w:val="72965641"/>
    <w:rsid w:val="72EA05BA"/>
    <w:rsid w:val="73387905"/>
    <w:rsid w:val="73A5030F"/>
    <w:rsid w:val="74204941"/>
    <w:rsid w:val="74A7269D"/>
    <w:rsid w:val="751F2C26"/>
    <w:rsid w:val="75406B66"/>
    <w:rsid w:val="757F6362"/>
    <w:rsid w:val="759A256D"/>
    <w:rsid w:val="75C4434D"/>
    <w:rsid w:val="76486AEC"/>
    <w:rsid w:val="76C461B4"/>
    <w:rsid w:val="76E426B2"/>
    <w:rsid w:val="77534E09"/>
    <w:rsid w:val="778C7884"/>
    <w:rsid w:val="77C41863"/>
    <w:rsid w:val="77D12B80"/>
    <w:rsid w:val="77F7346E"/>
    <w:rsid w:val="78283BA0"/>
    <w:rsid w:val="789E3E62"/>
    <w:rsid w:val="78EF32D3"/>
    <w:rsid w:val="79312349"/>
    <w:rsid w:val="7940309D"/>
    <w:rsid w:val="79D63AE2"/>
    <w:rsid w:val="79EA1DDF"/>
    <w:rsid w:val="79F3553D"/>
    <w:rsid w:val="7A0F3AFD"/>
    <w:rsid w:val="7A2A5843"/>
    <w:rsid w:val="7A4C10FC"/>
    <w:rsid w:val="7A9570DF"/>
    <w:rsid w:val="7BCB7664"/>
    <w:rsid w:val="7BE02598"/>
    <w:rsid w:val="7BE5355B"/>
    <w:rsid w:val="7C1F52BA"/>
    <w:rsid w:val="7C762D47"/>
    <w:rsid w:val="7DB1547C"/>
    <w:rsid w:val="7DFA794A"/>
    <w:rsid w:val="7E375195"/>
    <w:rsid w:val="7E3A2967"/>
    <w:rsid w:val="7E5D24DE"/>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szCs w:val="22"/>
    </w:rPr>
  </w:style>
  <w:style w:type="paragraph" w:styleId="5">
    <w:name w:val="Note Heading"/>
    <w:basedOn w:val="1"/>
    <w:next w:val="1"/>
    <w:qFormat/>
    <w:uiPriority w:val="0"/>
    <w:pPr>
      <w:jc w:val="center"/>
    </w:pPr>
    <w:rPr>
      <w:szCs w:val="24"/>
    </w:rPr>
  </w:style>
  <w:style w:type="paragraph" w:styleId="6">
    <w:name w:val="Body Text"/>
    <w:basedOn w:val="1"/>
    <w:next w:val="7"/>
    <w:qFormat/>
    <w:uiPriority w:val="0"/>
    <w:pPr>
      <w:spacing w:after="120" w:afterLines="0"/>
    </w:pPr>
  </w:style>
  <w:style w:type="paragraph" w:customStyle="1" w:styleId="7">
    <w:name w:val="_Style 2"/>
    <w:basedOn w:val="1"/>
    <w:next w:val="1"/>
    <w:qFormat/>
    <w:uiPriority w:val="0"/>
    <w:pPr>
      <w:ind w:firstLine="420" w:firstLineChars="200"/>
    </w:pPr>
  </w:style>
  <w:style w:type="paragraph" w:styleId="8">
    <w:name w:val="Body Text Indent"/>
    <w:basedOn w:val="1"/>
    <w:next w:val="1"/>
    <w:qFormat/>
    <w:uiPriority w:val="0"/>
    <w:pPr>
      <w:ind w:firstLine="640" w:firstLineChars="200"/>
    </w:pPr>
    <w:rPr>
      <w:sz w:val="32"/>
      <w:szCs w:val="24"/>
    </w:rPr>
  </w:style>
  <w:style w:type="paragraph" w:styleId="9">
    <w:name w:val="Plain Text"/>
    <w:basedOn w:val="1"/>
    <w:next w:val="10"/>
    <w:qFormat/>
    <w:uiPriority w:val="0"/>
    <w:rPr>
      <w:rFonts w:ascii="宋体" w:hAnsi="Courier New" w:cs="Times New Roman"/>
      <w:szCs w:val="21"/>
    </w:rPr>
  </w:style>
  <w:style w:type="paragraph" w:styleId="10">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1">
    <w:name w:val="Date"/>
    <w:basedOn w:val="1"/>
    <w:next w:val="1"/>
    <w:qFormat/>
    <w:uiPriority w:val="0"/>
    <w:rPr>
      <w:rFonts w:eastAsia="宋体"/>
      <w:sz w:val="21"/>
      <w:szCs w:val="20"/>
    </w:rPr>
  </w:style>
  <w:style w:type="paragraph" w:styleId="12">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paragraph" w:styleId="18">
    <w:name w:val="Body Text First Indent 2"/>
    <w:basedOn w:val="8"/>
    <w:next w:val="1"/>
    <w:qFormat/>
    <w:uiPriority w:val="0"/>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font01"/>
    <w:basedOn w:val="21"/>
    <w:qFormat/>
    <w:uiPriority w:val="0"/>
    <w:rPr>
      <w:rFonts w:hint="eastAsia" w:ascii="宋体" w:hAnsi="宋体" w:eastAsia="宋体" w:cs="宋体"/>
      <w:color w:val="000000"/>
      <w:sz w:val="22"/>
      <w:szCs w:val="22"/>
      <w:u w:val="none"/>
    </w:rPr>
  </w:style>
  <w:style w:type="character" w:customStyle="1" w:styleId="26">
    <w:name w:val="font31"/>
    <w:basedOn w:val="21"/>
    <w:qFormat/>
    <w:uiPriority w:val="0"/>
    <w:rPr>
      <w:rFonts w:hint="default" w:ascii="Calibri" w:hAnsi="Calibri" w:cs="Calibri"/>
      <w:color w:val="000000"/>
      <w:sz w:val="22"/>
      <w:szCs w:val="22"/>
      <w:u w:val="none"/>
    </w:rPr>
  </w:style>
  <w:style w:type="paragraph" w:customStyle="1" w:styleId="27">
    <w:name w:val="正文缩进11"/>
    <w:basedOn w:val="1"/>
    <w:qFormat/>
    <w:uiPriority w:val="0"/>
    <w:pPr>
      <w:ind w:firstLine="420" w:firstLineChars="200"/>
    </w:pPr>
  </w:style>
  <w:style w:type="paragraph" w:customStyle="1" w:styleId="28">
    <w:name w:val="仿宋_GB2312"/>
    <w:basedOn w:val="1"/>
    <w:qFormat/>
    <w:uiPriority w:val="0"/>
    <w:pPr>
      <w:snapToGrid w:val="0"/>
      <w:spacing w:line="579" w:lineRule="exact"/>
      <w:ind w:firstLine="632" w:firstLineChars="200"/>
    </w:pPr>
    <w:rPr>
      <w:rFonts w:ascii="仿宋_GB2312" w:hAnsi="仿宋"/>
      <w:szCs w:val="44"/>
    </w:rPr>
  </w:style>
  <w:style w:type="paragraph" w:customStyle="1" w:styleId="29">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7099</Words>
  <Characters>7376</Characters>
  <Lines>0</Lines>
  <Paragraphs>0</Paragraphs>
  <TotalTime>1</TotalTime>
  <ScaleCrop>false</ScaleCrop>
  <LinksUpToDate>false</LinksUpToDate>
  <CharactersWithSpaces>8336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HP</cp:lastModifiedBy>
  <cp:lastPrinted>2025-12-12T07:47:00Z</cp:lastPrinted>
  <dcterms:modified xsi:type="dcterms:W3CDTF">2026-06-01T10:03:05Z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44AB8BDE22254C178FBB2537DF4CAC15_13</vt:lpwstr>
  </property>
  <property fmtid="{D5CDD505-2E9C-101B-9397-08002B2CF9AE}" pid="4" name="KSOTemplateDocerSaveRecord">
    <vt:lpwstr>eyJoZGlkIjoiNTA4ZmYwYWQwMjMyZGE4ZGU4MjJjY2MxOGNkNGYwZWYiLCJ1c2VySWQiOiI0MzkxNTc3MzQifQ==</vt:lpwstr>
  </property>
</Properties>
</file>