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val="0"/>
          <w:sz w:val="48"/>
          <w:szCs w:val="48"/>
          <w:highlight w:val="none"/>
          <w:lang w:val="en-US" w:eastAsia="zh-CN"/>
        </w:rPr>
      </w:pPr>
    </w:p>
    <w:p>
      <w:pPr>
        <w:pStyle w:val="23"/>
        <w:rPr>
          <w:rFonts w:hint="eastAsia"/>
          <w:highlight w:val="none"/>
          <w:lang w:val="en-US" w:eastAsia="zh-CN"/>
        </w:rPr>
      </w:pPr>
    </w:p>
    <w:p>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pPr>
        <w:adjustRightInd w:val="0"/>
        <w:snapToGrid w:val="0"/>
        <w:spacing w:line="360" w:lineRule="auto"/>
        <w:jc w:val="center"/>
        <w:rPr>
          <w:rFonts w:hint="default" w:ascii="宋体" w:hAnsi="宋体" w:eastAsia="宋体" w:cs="宋体"/>
          <w:b/>
          <w:bCs w:val="0"/>
          <w:sz w:val="48"/>
          <w:szCs w:val="48"/>
          <w:highlight w:val="none"/>
          <w:lang w:val="en-US" w:eastAsia="zh-CN"/>
        </w:rPr>
      </w:pPr>
      <w:bookmarkStart w:id="0" w:name="OLE_LINK1"/>
      <w:r>
        <w:rPr>
          <w:rFonts w:hint="eastAsia" w:ascii="宋体" w:hAnsi="宋体" w:cs="宋体"/>
          <w:b/>
          <w:bCs w:val="0"/>
          <w:sz w:val="48"/>
          <w:szCs w:val="48"/>
          <w:highlight w:val="none"/>
          <w:lang w:val="en-US" w:eastAsia="zh-CN"/>
        </w:rPr>
        <w:t>注射泵等医疗设备</w:t>
      </w:r>
      <w:bookmarkEnd w:id="0"/>
      <w:r>
        <w:rPr>
          <w:rFonts w:hint="eastAsia" w:ascii="宋体" w:hAnsi="宋体" w:cs="宋体"/>
          <w:b/>
          <w:bCs w:val="0"/>
          <w:sz w:val="48"/>
          <w:szCs w:val="48"/>
          <w:highlight w:val="none"/>
          <w:lang w:val="en-US" w:eastAsia="zh-CN"/>
        </w:rPr>
        <w:t>采购项目</w:t>
      </w:r>
    </w:p>
    <w:p>
      <w:pPr>
        <w:adjustRightInd w:val="0"/>
        <w:snapToGrid w:val="0"/>
        <w:spacing w:before="468" w:beforeLines="150" w:after="312" w:afterLines="100"/>
        <w:jc w:val="center"/>
        <w:rPr>
          <w:rFonts w:hint="eastAsia" w:ascii="宋体" w:hAnsi="宋体" w:eastAsia="宋体" w:cs="宋体"/>
          <w:b/>
          <w:bCs w:val="0"/>
          <w:sz w:val="48"/>
          <w:szCs w:val="48"/>
          <w:highlight w:val="none"/>
        </w:rPr>
      </w:pPr>
    </w:p>
    <w:p>
      <w:pPr>
        <w:jc w:val="both"/>
        <w:rPr>
          <w:rFonts w:hint="eastAsia" w:ascii="宋体" w:hAnsi="宋体" w:eastAsia="宋体" w:cs="宋体"/>
          <w:b/>
          <w:bCs w:val="0"/>
          <w:sz w:val="24"/>
          <w:szCs w:val="24"/>
          <w:highlight w:val="none"/>
        </w:rPr>
      </w:pPr>
    </w:p>
    <w:p>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pPr>
        <w:jc w:val="center"/>
        <w:rPr>
          <w:rFonts w:hint="eastAsia" w:ascii="宋体" w:hAnsi="宋体" w:eastAsia="宋体" w:cs="宋体"/>
          <w:b/>
          <w:sz w:val="24"/>
          <w:szCs w:val="24"/>
          <w:highlight w:val="none"/>
        </w:rPr>
      </w:pPr>
    </w:p>
    <w:p>
      <w:pPr>
        <w:jc w:val="cente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highlight w:val="none"/>
          <w:lang w:val="en-US" w:eastAsia="zh-CN"/>
        </w:rPr>
        <w:t>wcxyy-2026-001</w:t>
      </w:r>
    </w:p>
    <w:p>
      <w:pPr>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p>
    <w:p>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pPr>
        <w:spacing w:line="360" w:lineRule="auto"/>
        <w:rPr>
          <w:rFonts w:hint="eastAsia" w:ascii="宋体" w:hAnsi="宋体" w:eastAsia="宋体" w:cs="宋体"/>
          <w:bCs/>
          <w:sz w:val="28"/>
          <w:szCs w:val="18"/>
          <w:highlight w:val="none"/>
        </w:rPr>
      </w:pPr>
    </w:p>
    <w:p>
      <w:pPr>
        <w:spacing w:line="360" w:lineRule="auto"/>
        <w:ind w:firstLine="2744" w:firstLineChars="980"/>
        <w:rPr>
          <w:rFonts w:hint="eastAsia" w:ascii="宋体" w:hAnsi="宋体" w:eastAsia="宋体" w:cs="宋体"/>
          <w:bCs/>
          <w:sz w:val="28"/>
          <w:szCs w:val="18"/>
          <w:highlight w:val="none"/>
        </w:rPr>
      </w:pPr>
    </w:p>
    <w:p>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月</w:t>
      </w:r>
    </w:p>
    <w:p>
      <w:pPr>
        <w:autoSpaceDE w:val="0"/>
        <w:autoSpaceDN w:val="0"/>
        <w:adjustRightInd w:val="0"/>
        <w:snapToGrid w:val="0"/>
        <w:spacing w:line="760" w:lineRule="exact"/>
        <w:rPr>
          <w:rFonts w:hint="eastAsia" w:ascii="宋体" w:hAnsi="宋体" w:eastAsia="宋体" w:cs="宋体"/>
          <w:b/>
          <w:kern w:val="24"/>
          <w:sz w:val="24"/>
          <w:szCs w:val="24"/>
          <w:highlight w:val="none"/>
        </w:rPr>
      </w:pPr>
    </w:p>
    <w:p>
      <w:pPr>
        <w:pStyle w:val="6"/>
        <w:rPr>
          <w:rFonts w:hint="eastAsia" w:ascii="宋体" w:hAnsi="宋体" w:eastAsia="宋体" w:cs="宋体"/>
          <w:b/>
          <w:kern w:val="24"/>
          <w:sz w:val="24"/>
          <w:szCs w:val="24"/>
          <w:highlight w:val="none"/>
        </w:rPr>
      </w:pPr>
    </w:p>
    <w:p>
      <w:pPr>
        <w:pStyle w:val="7"/>
        <w:rPr>
          <w:rFonts w:hint="eastAsia"/>
          <w:highlight w:val="none"/>
        </w:rPr>
      </w:pPr>
      <w:r>
        <w:rPr>
          <w:rFonts w:hint="eastAsia" w:ascii="宋体" w:hAnsi="宋体" w:cs="宋体"/>
          <w:b/>
          <w:kern w:val="24"/>
          <w:sz w:val="24"/>
          <w:szCs w:val="24"/>
          <w:highlight w:val="none"/>
          <w:lang w:val="en-US" w:eastAsia="zh-CN"/>
        </w:rPr>
        <w:t xml:space="preserve"> </w:t>
      </w:r>
    </w:p>
    <w:p>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spacing w:line="360" w:lineRule="auto"/>
        <w:ind w:firstLine="420"/>
        <w:jc w:val="center"/>
        <w:rPr>
          <w:rFonts w:hint="eastAsia" w:ascii="宋体" w:hAnsi="宋体" w:eastAsia="宋体" w:cs="宋体"/>
          <w:b/>
          <w:spacing w:val="12"/>
          <w:sz w:val="24"/>
          <w:szCs w:val="24"/>
          <w:highlight w:val="none"/>
        </w:rPr>
      </w:pPr>
    </w:p>
    <w:p>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eastAsia="zh-CN"/>
        </w:rPr>
        <w:t>供应商须知</w:t>
      </w:r>
      <w:r>
        <w:rPr>
          <w:rFonts w:ascii="宋体" w:hAnsi="宋体" w:eastAsia="宋体"/>
          <w:kern w:val="0"/>
          <w:sz w:val="28"/>
          <w:szCs w:val="28"/>
          <w:highlight w:val="none"/>
        </w:rPr>
        <w:t>…………………………………</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16</w:t>
      </w:r>
    </w:p>
    <w:p>
      <w:pPr>
        <w:autoSpaceDE w:val="0"/>
        <w:autoSpaceDN w:val="0"/>
        <w:adjustRightInd w:val="0"/>
        <w:spacing w:line="700" w:lineRule="exact"/>
        <w:rPr>
          <w:rFonts w:hint="eastAsia" w:ascii="宋体" w:hAnsi="宋体" w:eastAsia="宋体" w:cs="宋体"/>
          <w:bCs/>
          <w:kern w:val="0"/>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pStyle w:val="6"/>
        <w:rPr>
          <w:rFonts w:hint="eastAsia"/>
          <w:highlight w:val="none"/>
        </w:rPr>
      </w:pPr>
    </w:p>
    <w:p>
      <w:pPr>
        <w:pStyle w:val="18"/>
        <w:rPr>
          <w:rFonts w:hint="eastAsia" w:ascii="宋体" w:hAnsi="宋体" w:eastAsia="宋体" w:cs="宋体"/>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8"/>
          <w:szCs w:val="28"/>
          <w:highlight w:val="none"/>
        </w:rPr>
      </w:pPr>
    </w:p>
    <w:p>
      <w:pPr>
        <w:pStyle w:val="18"/>
        <w:rPr>
          <w:rFonts w:hint="eastAsia"/>
          <w:highlight w:val="none"/>
        </w:rPr>
      </w:pPr>
    </w:p>
    <w:p>
      <w:pPr>
        <w:pStyle w:val="6"/>
        <w:rPr>
          <w:rFonts w:hint="eastAsia"/>
          <w:highlight w:val="none"/>
        </w:rPr>
      </w:pPr>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供应商须知前附表</w:t>
      </w:r>
    </w:p>
    <w:p>
      <w:pPr>
        <w:ind w:firstLine="420"/>
        <w:rPr>
          <w:rFonts w:hint="eastAsia" w:ascii="宋体" w:hAnsi="宋体" w:eastAsia="宋体" w:cs="宋体"/>
          <w:sz w:val="24"/>
          <w:highlight w:val="none"/>
        </w:rPr>
      </w:pPr>
      <w:r>
        <w:rPr>
          <w:rFonts w:hint="eastAsia" w:ascii="宋体" w:hAnsi="宋体" w:eastAsia="宋体" w:cs="宋体"/>
          <w:sz w:val="24"/>
          <w:highlight w:val="none"/>
        </w:rPr>
        <w:t>本表关于要采购的货物的具体资料是对供应商须知的具体补充和修改，如有矛盾，应以本资料表为准。</w:t>
      </w:r>
    </w:p>
    <w:tbl>
      <w:tblPr>
        <w:tblStyle w:val="19"/>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26</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922" w:type="dxa"/>
            <w:noWrap w:val="0"/>
            <w:vAlign w:val="center"/>
          </w:tcPr>
          <w:p>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2</w:t>
            </w:r>
            <w:r>
              <w:rPr>
                <w:rFonts w:hint="eastAsia" w:ascii="宋体" w:hAnsi="宋体" w:eastAsia="宋体" w:cs="宋体"/>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pPr>
        <w:spacing w:line="500" w:lineRule="exact"/>
        <w:ind w:firstLine="42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供应商须知正文</w:t>
      </w:r>
    </w:p>
    <w:p>
      <w:pPr>
        <w:spacing w:line="50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一、说  明</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定义</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1.1“采购人”是指依法进行政府采购的国家机关、事业单位、团体组织。本次采购的采购人名称、地址、电话、联系人见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“供应商”是响应采购文件并且符合采购文件规定资格条件和参加投标竞争的法人、其他组织或者自然人。</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采购项目资金来源及采购预算</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2.1本项目采购资金</w:t>
      </w:r>
      <w:r>
        <w:rPr>
          <w:rFonts w:hint="eastAsia" w:ascii="宋体" w:hAnsi="宋体" w:eastAsia="宋体" w:cs="宋体"/>
          <w:sz w:val="24"/>
          <w:highlight w:val="none"/>
          <w:lang w:val="en-US" w:eastAsia="zh-CN"/>
        </w:rPr>
        <w:t>为医院自筹资金</w:t>
      </w:r>
      <w:r>
        <w:rPr>
          <w:rFonts w:hint="eastAsia" w:ascii="宋体" w:hAnsi="宋体" w:eastAsia="宋体" w:cs="宋体"/>
          <w:sz w:val="24"/>
          <w:highlight w:val="none"/>
        </w:rPr>
        <w:t>，预算金额见供应商须知前附表。</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供应商的资格要求</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3.1供应商应当符合下列资格条件要求：</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（1）符</w:t>
      </w:r>
      <w:r>
        <w:rPr>
          <w:rFonts w:hint="eastAsia" w:ascii="宋体" w:hAnsi="宋体" w:eastAsia="宋体" w:cs="宋体"/>
          <w:sz w:val="24"/>
          <w:highlight w:val="none"/>
          <w:u w:val="none"/>
        </w:rPr>
        <w:t>合</w:t>
      </w:r>
      <w:r>
        <w:rPr>
          <w:rFonts w:hint="eastAsia" w:ascii="宋体" w:hAnsi="宋体" w:cs="宋体"/>
          <w:sz w:val="24"/>
          <w:highlight w:val="none"/>
          <w:u w:val="none"/>
          <w:lang w:eastAsia="zh-CN"/>
        </w:rPr>
        <w:t>《中华人民共和国政府采购法》</w:t>
      </w:r>
      <w:r>
        <w:rPr>
          <w:rFonts w:hint="eastAsia" w:ascii="宋体" w:hAnsi="宋体" w:eastAsia="宋体" w:cs="宋体"/>
          <w:sz w:val="24"/>
          <w:highlight w:val="none"/>
        </w:rPr>
        <w:t>第二十二条规定的条件；</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3.2供应商不得存在下列任意情形之一：</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（1）与采购人存在隶属关系或者其他利害关系。</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（2）单位负责人为同一人或者存在直接控股、管理关系的不同供应商，不得参加同一合同项下的政府采购活动。</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投标费用</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4.1 供应商应承担所有与准备和参加投标有关的费用。不论投标的结果如何,供应商须知前附表中所述的采购人无义务和责任承担这些费用。</w:t>
      </w:r>
    </w:p>
    <w:p>
      <w:pPr>
        <w:spacing w:line="500" w:lineRule="exact"/>
        <w:ind w:left="360"/>
        <w:jc w:val="center"/>
        <w:rPr>
          <w:rFonts w:hint="eastAsia" w:ascii="宋体" w:hAnsi="宋体" w:eastAsia="宋体" w:cs="宋体"/>
          <w:b/>
          <w:sz w:val="32"/>
          <w:highlight w:val="none"/>
        </w:rPr>
      </w:pPr>
    </w:p>
    <w:p>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二、采 购 文 件</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采购文件的构成</w:t>
      </w:r>
    </w:p>
    <w:p>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eastAsia="宋体" w:cs="宋体"/>
          <w:sz w:val="24"/>
          <w:highlight w:val="none"/>
        </w:rPr>
        <w:t>.1 采购文件各章节的内容如下：</w:t>
      </w:r>
      <w:r>
        <w:rPr>
          <w:rFonts w:hint="eastAsia" w:ascii="宋体" w:hAnsi="宋体" w:cs="宋体"/>
          <w:sz w:val="24"/>
          <w:highlight w:val="none"/>
          <w:lang w:val="en-US" w:eastAsia="zh-CN"/>
        </w:rPr>
        <w:t>采购</w:t>
      </w:r>
      <w:r>
        <w:rPr>
          <w:rFonts w:hint="eastAsia" w:ascii="宋体" w:hAnsi="宋体" w:eastAsia="宋体" w:cs="宋体"/>
          <w:sz w:val="24"/>
          <w:highlight w:val="none"/>
        </w:rPr>
        <w:t>公告</w:t>
      </w:r>
      <w:r>
        <w:rPr>
          <w:rFonts w:hint="eastAsia" w:ascii="宋体" w:hAnsi="宋体" w:cs="宋体"/>
          <w:sz w:val="24"/>
          <w:highlight w:val="none"/>
          <w:lang w:eastAsia="zh-CN"/>
        </w:rPr>
        <w:t>、</w:t>
      </w:r>
      <w:r>
        <w:rPr>
          <w:rFonts w:hint="eastAsia" w:ascii="宋体" w:hAnsi="宋体" w:eastAsia="宋体" w:cs="宋体"/>
          <w:sz w:val="24"/>
          <w:highlight w:val="none"/>
        </w:rPr>
        <w:t>供应商须知</w:t>
      </w:r>
      <w:r>
        <w:rPr>
          <w:rFonts w:hint="eastAsia" w:ascii="宋体" w:hAnsi="宋体" w:cs="宋体"/>
          <w:sz w:val="24"/>
          <w:highlight w:val="none"/>
          <w:lang w:eastAsia="zh-CN"/>
        </w:rPr>
        <w:t>、</w:t>
      </w:r>
      <w:r>
        <w:rPr>
          <w:rFonts w:hint="eastAsia" w:ascii="宋体" w:hAnsi="宋体" w:eastAsia="宋体" w:cs="宋体"/>
          <w:sz w:val="24"/>
          <w:highlight w:val="none"/>
        </w:rPr>
        <w:t>采购项目需求</w:t>
      </w:r>
      <w:r>
        <w:rPr>
          <w:rFonts w:hint="eastAsia" w:ascii="宋体" w:hAnsi="宋体" w:cs="宋体"/>
          <w:sz w:val="24"/>
          <w:highlight w:val="none"/>
          <w:lang w:eastAsia="zh-CN"/>
        </w:rPr>
        <w:t>、</w:t>
      </w:r>
      <w:r>
        <w:rPr>
          <w:rFonts w:hint="eastAsia" w:ascii="宋体" w:hAnsi="宋体" w:cs="宋体"/>
          <w:sz w:val="24"/>
          <w:highlight w:val="none"/>
          <w:lang w:val="en-US" w:eastAsia="zh-CN"/>
        </w:rPr>
        <w:t>采购</w:t>
      </w:r>
      <w:r>
        <w:rPr>
          <w:rFonts w:hint="eastAsia" w:ascii="宋体" w:hAnsi="宋体" w:eastAsia="宋体" w:cs="宋体"/>
          <w:sz w:val="24"/>
          <w:highlight w:val="none"/>
        </w:rPr>
        <w:t>程序及评审标准</w:t>
      </w:r>
      <w:r>
        <w:rPr>
          <w:rFonts w:hint="eastAsia" w:ascii="宋体" w:hAnsi="宋体" w:cs="宋体"/>
          <w:sz w:val="24"/>
          <w:highlight w:val="none"/>
          <w:lang w:eastAsia="zh-CN"/>
        </w:rPr>
        <w:t>、</w:t>
      </w:r>
      <w:r>
        <w:rPr>
          <w:rFonts w:hint="eastAsia" w:ascii="宋体" w:hAnsi="宋体" w:eastAsia="宋体" w:cs="宋体"/>
          <w:sz w:val="24"/>
          <w:highlight w:val="none"/>
        </w:rPr>
        <w:t>响应文件格式</w:t>
      </w:r>
      <w:r>
        <w:rPr>
          <w:rFonts w:hint="eastAsia" w:ascii="宋体" w:hAnsi="宋体" w:cs="宋体"/>
          <w:sz w:val="24"/>
          <w:highlight w:val="none"/>
          <w:lang w:eastAsia="zh-CN"/>
        </w:rPr>
        <w:t>。</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.2供应商应仔细阅读采购文件的全部内容，按照采购文件要求编制响应文件。任何对采购文件的忽略或误解不能作为响应文件存在缺陷或瑕疵的理由，其风险由供应商承担。</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采购文件的澄清或修改</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pPr>
        <w:numPr>
          <w:ilvl w:val="0"/>
          <w:numId w:val="1"/>
        </w:numPr>
        <w:snapToGrid w:val="0"/>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偏离</w:t>
      </w:r>
    </w:p>
    <w:p>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7.1</w:t>
      </w:r>
      <w:r>
        <w:rPr>
          <w:rFonts w:hint="eastAsia" w:ascii="宋体" w:hAnsi="宋体" w:eastAsia="宋体" w:cs="宋体"/>
          <w:sz w:val="24"/>
          <w:highlight w:val="none"/>
        </w:rPr>
        <w:t>本款所称偏离为响应文件对采购文件的偏离</w:t>
      </w:r>
      <w:r>
        <w:rPr>
          <w:rFonts w:hint="eastAsia" w:ascii="宋体" w:hAnsi="宋体" w:cs="宋体"/>
          <w:sz w:val="24"/>
          <w:highlight w:val="none"/>
          <w:lang w:eastAsia="zh-CN"/>
        </w:rPr>
        <w:t>。</w:t>
      </w:r>
    </w:p>
    <w:p>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三、响应文件的编制</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投标的语言</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.1 供应商提交的响应文件及供应商与采购人就有关投标的所有来往函电均使用中文。供应商可以提交其他语言的资料，但应附有中文注释，有差异时以中文为准。</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响应文件构成</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9</w:t>
      </w:r>
      <w:r>
        <w:rPr>
          <w:rFonts w:hint="eastAsia" w:ascii="宋体" w:hAnsi="宋体" w:eastAsia="宋体" w:cs="宋体"/>
          <w:sz w:val="24"/>
          <w:highlight w:val="none"/>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highlight w:val="none"/>
        </w:rPr>
        <w:t>（响应文件必须胶装成册，不得为活页装订（散页、打孔、插条等），并编制目录且标注连续页码），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投标报价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.1供应商应按采购文件规定的供货及服务要求、责任范围和合同条件，以人民币进行报价。本项目投标报价要求详见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.2供应商应按开标一览表和分项价格表的内容和格式要求填写各项货物及服务的分项价格和总价。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.3除</w:t>
      </w:r>
      <w:r>
        <w:rPr>
          <w:rFonts w:hint="eastAsia" w:ascii="宋体" w:hAnsi="宋体" w:eastAsia="宋体" w:cs="宋体"/>
          <w:b/>
          <w:sz w:val="24"/>
          <w:highlight w:val="none"/>
        </w:rPr>
        <w:t>供应商须知前附表</w:t>
      </w:r>
      <w:r>
        <w:rPr>
          <w:rFonts w:hint="eastAsia" w:ascii="宋体" w:hAnsi="宋体" w:eastAsia="宋体" w:cs="宋体"/>
          <w:sz w:val="24"/>
          <w:highlight w:val="none"/>
        </w:rPr>
        <w:t>允许提交备选方案外，供应商对每种货物及服务只允许有一个报价，不接受可变动性报价，否则，在评标时将其视为无效投标。</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.4供应商之间不得相互串通投标报价，不得妨碍其他供应商的公平竞争，不得损害采购采购单位或者其他供应商的合法权益。</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投标有效期</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1投标有效期见</w:t>
      </w:r>
      <w:r>
        <w:rPr>
          <w:rFonts w:hint="eastAsia" w:ascii="宋体" w:hAnsi="宋体" w:eastAsia="宋体" w:cs="宋体"/>
          <w:b/>
          <w:sz w:val="24"/>
          <w:highlight w:val="none"/>
        </w:rPr>
        <w:t>供应商须知前附</w:t>
      </w:r>
      <w:r>
        <w:rPr>
          <w:rFonts w:hint="eastAsia" w:ascii="宋体" w:hAnsi="宋体" w:eastAsia="宋体" w:cs="宋体"/>
          <w:sz w:val="24"/>
          <w:highlight w:val="none"/>
        </w:rPr>
        <w:t>表，在此期间响应文件对供应商具有法律约束力，以保证采购人有足够的时间完成评标、定标以及签订合同。投标有效期从投标截止之日起开始计算。投标有效期不足的，在评标时将视为无效投标。</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.2特殊情况需延长投标有效期的，采购人可于投标有效期届满之前，要求供应商同意延长有效期。供应商拒绝延长的，其投标在原投标有效期届满后将不再有效；供应商同意延长的不允许修改或撤回响应文件。</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响应文件的式样和签署</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.1 供应商应按</w:t>
      </w:r>
      <w:r>
        <w:rPr>
          <w:rFonts w:hint="eastAsia" w:ascii="宋体" w:hAnsi="宋体" w:eastAsia="宋体" w:cs="宋体"/>
          <w:b/>
          <w:sz w:val="24"/>
          <w:highlight w:val="none"/>
        </w:rPr>
        <w:t>供应商须知前附表</w:t>
      </w:r>
      <w:r>
        <w:rPr>
          <w:rFonts w:hint="eastAsia" w:ascii="宋体" w:hAnsi="宋体" w:eastAsia="宋体" w:cs="宋体"/>
          <w:sz w:val="24"/>
          <w:highlight w:val="none"/>
        </w:rPr>
        <w:t>要求的份数准备响应文件，正本和副本的封面应注明“正本”或“副本”的字样。若副本与正本不符，以正本为准。</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pPr>
        <w:spacing w:line="500" w:lineRule="exact"/>
        <w:ind w:left="734" w:hanging="734" w:hangingChars="306"/>
        <w:rPr>
          <w:rFonts w:hint="eastAsia" w:ascii="宋体" w:hAnsi="宋体" w:eastAsia="宋体" w:cs="宋体"/>
          <w:sz w:val="24"/>
          <w:highlight w:val="none"/>
        </w:rPr>
      </w:pPr>
    </w:p>
    <w:p>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四、响应文件的递交</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响应文件的密封和标记</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.1供应商应将响应文件正本和所有的副本统一密封在同一个封套中。如一个密封套装不下时，可分几个来装。</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.2封套上应注明：</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u w:val="single"/>
        </w:rPr>
        <w:t>（项目名称）（包号/标段号）</w:t>
      </w:r>
      <w:r>
        <w:rPr>
          <w:rFonts w:hint="eastAsia" w:ascii="宋体" w:hAnsi="宋体" w:eastAsia="宋体" w:cs="宋体"/>
          <w:sz w:val="24"/>
          <w:highlight w:val="none"/>
        </w:rPr>
        <w:t>响应文件</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采购编号：</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供应商地址：</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.3如果封套未按本须知第1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.1条要求加写标记和密封，</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对误投或提前启封概不负责。</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响应文件递交地点及投标截止时间</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rPr>
        <w:t>.1供应商应在规定的截止日期和时间将响应文件</w:t>
      </w:r>
      <w:r>
        <w:rPr>
          <w:rFonts w:hint="eastAsia" w:ascii="宋体" w:hAnsi="宋体" w:eastAsia="宋体" w:cs="宋体"/>
          <w:sz w:val="24"/>
          <w:highlight w:val="none"/>
          <w:lang w:val="en-US" w:eastAsia="zh-CN"/>
        </w:rPr>
        <w:t>密封后</w:t>
      </w:r>
      <w:r>
        <w:rPr>
          <w:rFonts w:hint="eastAsia" w:ascii="宋体" w:hAnsi="宋体" w:eastAsia="宋体" w:cs="宋体"/>
          <w:sz w:val="24"/>
          <w:highlight w:val="none"/>
        </w:rPr>
        <w:t>递交至</w:t>
      </w:r>
      <w:r>
        <w:rPr>
          <w:rFonts w:hint="eastAsia" w:ascii="宋体" w:hAnsi="宋体" w:eastAsia="宋体" w:cs="宋体"/>
          <w:sz w:val="24"/>
          <w:highlight w:val="none"/>
          <w:lang w:val="en-US" w:eastAsia="zh-CN"/>
        </w:rPr>
        <w:t>围场县医院采购中心</w:t>
      </w:r>
      <w:r>
        <w:rPr>
          <w:rFonts w:hint="eastAsia" w:ascii="宋体" w:hAnsi="宋体" w:eastAsia="宋体" w:cs="宋体"/>
          <w:sz w:val="24"/>
          <w:highlight w:val="none"/>
        </w:rPr>
        <w:t>。</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迟交的响应文件</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将拒绝并原封退回本须知第1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条规定的截止期后收到的任何响应文件。</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响应文件的修改和撤回</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.1供应商在递交响应文件后，可以修改或撤回其投标，但供应商必须在规定的投标截止期之前将修改或撤回的书面通知递交到采购</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.2供应商的修改或撤回通知应按本须知第1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条规定编制、密封、标记和递交。</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.3在投标截止期之后，供应商不得对其响应文件做任何修改。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.4从投标截止期至供应商在响应文件中确定的投标有效期期满这段时间内，供应商不得撤回其投标。</w:t>
      </w:r>
    </w:p>
    <w:p>
      <w:pPr>
        <w:spacing w:line="500" w:lineRule="exact"/>
        <w:jc w:val="center"/>
        <w:rPr>
          <w:rFonts w:hint="eastAsia" w:ascii="宋体" w:hAnsi="宋体" w:eastAsia="宋体" w:cs="宋体"/>
          <w:b/>
          <w:sz w:val="32"/>
          <w:highlight w:val="none"/>
        </w:rPr>
      </w:pPr>
    </w:p>
    <w:p>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五、开标与评标</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开标</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.1开标应当在采购文件</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中规定的日期、时间和地点公开进行。</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.2开标时，应当由</w:t>
      </w:r>
      <w:r>
        <w:rPr>
          <w:rFonts w:hint="eastAsia" w:ascii="宋体" w:hAnsi="宋体" w:eastAsia="宋体" w:cs="宋体"/>
          <w:sz w:val="24"/>
          <w:highlight w:val="none"/>
          <w:lang w:val="en-US" w:eastAsia="zh-CN"/>
        </w:rPr>
        <w:t>纪检人员及评委</w:t>
      </w:r>
      <w:r>
        <w:rPr>
          <w:rFonts w:hint="eastAsia" w:ascii="宋体" w:hAnsi="宋体" w:eastAsia="宋体" w:cs="宋体"/>
          <w:sz w:val="24"/>
          <w:highlight w:val="none"/>
        </w:rPr>
        <w:t>经确认无误后当众拆封，宣读供应商名称、修改和撤回投标的通知、投标价格、折扣声明、交货期等内容。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.3在开标时没有启封和读出的响应文件将原封退回给供应商。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.4 开标过程应当专人负责记录，并存档备查。</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组建评标委员会</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.1具体评标事务由采购人依法组建的评标委员会负责</w:t>
      </w:r>
      <w:r>
        <w:rPr>
          <w:rFonts w:hint="eastAsia" w:ascii="宋体" w:hAnsi="宋体" w:eastAsia="宋体" w:cs="宋体"/>
          <w:sz w:val="24"/>
          <w:highlight w:val="none"/>
          <w:lang w:eastAsia="zh-CN"/>
        </w:rPr>
        <w:t>，</w:t>
      </w:r>
      <w:r>
        <w:rPr>
          <w:rFonts w:hint="eastAsia" w:ascii="宋体" w:hAnsi="宋体" w:eastAsia="宋体" w:cs="宋体"/>
          <w:sz w:val="24"/>
          <w:highlight w:val="none"/>
        </w:rPr>
        <w:t>成员人数为3人以上单数（含3人）。</w:t>
      </w:r>
    </w:p>
    <w:p>
      <w:pPr>
        <w:spacing w:line="500" w:lineRule="exact"/>
        <w:rPr>
          <w:rFonts w:hint="eastAsia" w:ascii="宋体" w:hAnsi="宋体" w:eastAsia="宋体" w:cs="宋体"/>
          <w:b/>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.2评标委员会将按照</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中确定的评标方法和评标标准对响应文件进行评审和比较。</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响应文件的初审</w:t>
      </w:r>
    </w:p>
    <w:p>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.1响应文件的初审分为资格性检查和符合性检查。</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资格性检查</w:t>
      </w:r>
      <w:r>
        <w:rPr>
          <w:rFonts w:hint="eastAsia" w:ascii="宋体" w:hAnsi="宋体" w:cs="宋体"/>
          <w:sz w:val="24"/>
          <w:highlight w:val="none"/>
          <w:lang w:eastAsia="zh-CN"/>
        </w:rPr>
        <w:t>：</w:t>
      </w:r>
      <w:r>
        <w:rPr>
          <w:rFonts w:hint="eastAsia" w:ascii="宋体" w:hAnsi="宋体" w:eastAsia="宋体" w:cs="宋体"/>
          <w:sz w:val="24"/>
          <w:highlight w:val="none"/>
        </w:rPr>
        <w:t>对响应文件中的资格证明等进行审查，以确定供应商是否具备投标资格。</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符合性检查</w:t>
      </w:r>
      <w:r>
        <w:rPr>
          <w:rFonts w:hint="eastAsia" w:ascii="宋体" w:hAnsi="宋体" w:cs="宋体"/>
          <w:sz w:val="24"/>
          <w:highlight w:val="none"/>
          <w:lang w:eastAsia="zh-CN"/>
        </w:rPr>
        <w:t>：</w:t>
      </w:r>
      <w:r>
        <w:rPr>
          <w:rFonts w:hint="eastAsia" w:ascii="宋体" w:hAnsi="宋体" w:eastAsia="宋体" w:cs="宋体"/>
          <w:sz w:val="24"/>
          <w:highlight w:val="none"/>
        </w:rPr>
        <w:t>依据采购文件的规定，从响应文件的有效性、完整性和对采购文件的响应程度进行审查，以确定是否对采购文件的实质性要求作出响应。</w:t>
      </w:r>
    </w:p>
    <w:p>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.2供应商有下列情形之一的，应在资格性、符合性检查时按照无效投标处理：</w:t>
      </w:r>
    </w:p>
    <w:p>
      <w:pPr>
        <w:numPr>
          <w:ilvl w:val="0"/>
          <w:numId w:val="2"/>
        </w:num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投标有效期不满足采购文件要求的；</w:t>
      </w:r>
    </w:p>
    <w:p>
      <w:pPr>
        <w:spacing w:line="500" w:lineRule="exact"/>
        <w:rPr>
          <w:rFonts w:hint="eastAsia"/>
          <w:highlight w:val="none"/>
        </w:rPr>
      </w:pPr>
      <w:r>
        <w:rPr>
          <w:rFonts w:hint="eastAsia" w:ascii="宋体" w:hAnsi="宋体" w:eastAsia="宋体" w:cs="宋体"/>
          <w:b/>
          <w:sz w:val="24"/>
          <w:highlight w:val="none"/>
        </w:rPr>
        <w:t>（2）供应商不按评标委员会要求澄清、说明或补正的。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（3）供应商资格不满足采购文件要求或资格证明文件未按采购文件要求提供的；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（4）响应文件未按采购文件要求盖章或签字的；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（5）投标报价高于本项目预算金额的；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（6）未按采购文件格式编写响应文件的；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（7）响应文件中提供虚假或失实资料的；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（8）供应商以明显低于成本价的价格恶意参与投标的；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（9）响应文件不满足采购文件技术要求中重要参数要求的；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（10）响应文件附有采购人不能接受的条件的。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（11）供应商串通投标或弄虚作假或有其他违法行为的；</w:t>
      </w:r>
    </w:p>
    <w:p>
      <w:pPr>
        <w:spacing w:line="500" w:lineRule="exact"/>
        <w:rPr>
          <w:rFonts w:hint="eastAsia" w:ascii="宋体" w:hAnsi="宋体" w:eastAsia="宋体" w:cs="宋体"/>
          <w:b/>
          <w:sz w:val="24"/>
          <w:highlight w:val="none"/>
        </w:rPr>
      </w:pPr>
      <w:r>
        <w:rPr>
          <w:rFonts w:hint="eastAsia" w:ascii="宋体" w:hAnsi="宋体" w:cs="宋体"/>
          <w:b/>
          <w:sz w:val="24"/>
          <w:highlight w:val="none"/>
          <w:lang w:val="en-US" w:eastAsia="zh-CN"/>
        </w:rPr>
        <w:t xml:space="preserve">20. </w:t>
      </w:r>
      <w:r>
        <w:rPr>
          <w:rFonts w:hint="eastAsia" w:ascii="宋体" w:hAnsi="宋体" w:eastAsia="宋体" w:cs="宋体"/>
          <w:b/>
          <w:sz w:val="24"/>
          <w:highlight w:val="none"/>
        </w:rPr>
        <w:t>核价原则</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.1响应文件中开标一览表内容与响应文件中明细表内容不一致的，以开标一览表为准。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.2响应文件的大写金额和小写金额不一致的，以大写金额为准。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.3总价金额与按单价汇总金额不一致的，以单价金额计算结果为准。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4单价金额小数点有明显错误的，应以总价为准，并修改单价。</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.5对不同文字文本响应文件的解释发生异议的，以中文文本为准。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.6评标委员会将按上述修正错误的方法调整响应文件中的投标报价，调整后的价格应对供应商具有约束力。供应商不同意以上修正的，其投标作无效投标处理。</w:t>
      </w:r>
    </w:p>
    <w:p>
      <w:pPr>
        <w:spacing w:line="500" w:lineRule="exact"/>
        <w:rPr>
          <w:rFonts w:hint="eastAsia" w:ascii="宋体" w:hAnsi="宋体" w:eastAsia="宋体" w:cs="宋体"/>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．响应文件的澄清</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.2供应商的澄清、说明或者补正应该采用书面形式，由法定代表人或其授权的代理人签字，并按评标委员会的通知要求递交。</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.3有效的书面澄清材料，是响应文件的补充材料，成为响应文件的组成部分。</w:t>
      </w:r>
    </w:p>
    <w:p>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2</w:t>
      </w:r>
      <w:r>
        <w:rPr>
          <w:rFonts w:hint="eastAsia" w:ascii="宋体" w:hAnsi="宋体" w:eastAsia="宋体" w:cs="宋体"/>
          <w:b/>
          <w:sz w:val="24"/>
          <w:highlight w:val="none"/>
        </w:rPr>
        <w:t>. 响应文件的比较与评价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评标委员会应按照采购文件中规定的评标方法和标准，对资格性检查和符合性检查合格的响应文件进行价格评审。</w:t>
      </w:r>
    </w:p>
    <w:p>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．推荐成交候选人名单</w:t>
      </w:r>
    </w:p>
    <w:p>
      <w:pPr>
        <w:snapToGrid w:val="0"/>
        <w:spacing w:line="500" w:lineRule="exact"/>
        <w:rPr>
          <w:rFonts w:hint="eastAsia" w:ascii="宋体" w:hAnsi="宋体" w:eastAsia="宋体" w:cs="宋体"/>
          <w:sz w:val="24"/>
          <w:szCs w:val="22"/>
          <w:highlight w:val="none"/>
        </w:rPr>
      </w:pPr>
      <w:r>
        <w:rPr>
          <w:rFonts w:hint="eastAsia" w:ascii="宋体" w:hAnsi="宋体" w:eastAsia="宋体" w:cs="宋体"/>
          <w:sz w:val="24"/>
          <w:highlight w:val="none"/>
        </w:rPr>
        <w:t>评标委员会</w:t>
      </w:r>
      <w:r>
        <w:rPr>
          <w:rFonts w:hint="eastAsia" w:ascii="宋体" w:hAnsi="宋体" w:eastAsia="宋体" w:cs="宋体"/>
          <w:sz w:val="24"/>
          <w:szCs w:val="22"/>
          <w:highlight w:val="none"/>
        </w:rPr>
        <w:t>应当从质量和服务均能满足采购文件实质性响应要求的供应商中，按照</w:t>
      </w:r>
      <w:r>
        <w:rPr>
          <w:rFonts w:hint="eastAsia" w:ascii="宋体" w:hAnsi="宋体" w:cs="宋体"/>
          <w:sz w:val="24"/>
          <w:szCs w:val="22"/>
          <w:highlight w:val="none"/>
          <w:lang w:eastAsia="zh-CN"/>
        </w:rPr>
        <w:t>评分</w:t>
      </w:r>
      <w:r>
        <w:rPr>
          <w:rFonts w:hint="eastAsia" w:ascii="宋体" w:hAnsi="宋体" w:eastAsia="宋体" w:cs="宋体"/>
          <w:sz w:val="24"/>
          <w:szCs w:val="22"/>
          <w:highlight w:val="none"/>
        </w:rPr>
        <w:t>由低到高的顺序提出成交候选人。</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4</w:t>
      </w:r>
      <w:r>
        <w:rPr>
          <w:rFonts w:hint="eastAsia" w:ascii="宋体" w:hAnsi="宋体" w:eastAsia="宋体" w:cs="宋体"/>
          <w:b/>
          <w:sz w:val="24"/>
          <w:highlight w:val="none"/>
        </w:rPr>
        <w:t>．注意事项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.1评标是采购工作的重要环节，评标工作在评标委员会内独立进行。</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.2评标委员会将遵照规定的评标办法，公正、平等地对待所有供应商。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.4评标委员会和采购</w:t>
      </w:r>
      <w:r>
        <w:rPr>
          <w:rFonts w:hint="eastAsia" w:ascii="宋体" w:hAnsi="宋体" w:cs="宋体"/>
          <w:sz w:val="24"/>
          <w:highlight w:val="none"/>
          <w:lang w:val="en-US" w:eastAsia="zh-CN"/>
        </w:rPr>
        <w:t>人</w:t>
      </w:r>
      <w:r>
        <w:rPr>
          <w:rFonts w:hint="eastAsia" w:ascii="宋体" w:hAnsi="宋体" w:eastAsia="宋体" w:cs="宋体"/>
          <w:sz w:val="24"/>
          <w:highlight w:val="none"/>
        </w:rPr>
        <w:t>不退还响应文件。</w:t>
      </w:r>
    </w:p>
    <w:p>
      <w:pPr>
        <w:spacing w:line="500" w:lineRule="exact"/>
        <w:jc w:val="center"/>
        <w:rPr>
          <w:rFonts w:hint="eastAsia" w:ascii="宋体" w:hAnsi="宋体" w:eastAsia="宋体" w:cs="宋体"/>
          <w:b/>
          <w:sz w:val="32"/>
          <w:highlight w:val="none"/>
        </w:rPr>
      </w:pPr>
    </w:p>
    <w:p>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六、授予合同</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．中标（成交）结果公示</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5</w:t>
      </w:r>
      <w:r>
        <w:rPr>
          <w:rFonts w:hint="eastAsia" w:ascii="宋体" w:hAnsi="宋体" w:eastAsia="宋体" w:cs="宋体"/>
          <w:sz w:val="24"/>
          <w:highlight w:val="none"/>
        </w:rPr>
        <w:t>.1采购人在成交供应商确定后应在</w:t>
      </w:r>
      <w:r>
        <w:rPr>
          <w:rFonts w:hint="eastAsia" w:ascii="宋体" w:hAnsi="宋体" w:eastAsia="宋体" w:cs="宋体"/>
          <w:sz w:val="24"/>
          <w:highlight w:val="none"/>
          <w:lang w:val="en-US" w:eastAsia="zh-CN"/>
        </w:rPr>
        <w:t>医院网站中</w:t>
      </w:r>
      <w:r>
        <w:rPr>
          <w:rFonts w:hint="eastAsia" w:ascii="宋体" w:hAnsi="宋体" w:eastAsia="宋体" w:cs="宋体"/>
          <w:sz w:val="24"/>
          <w:highlight w:val="none"/>
        </w:rPr>
        <w:t>公告中标结果，公示期为1个工作日。</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．中标（成交）通知书</w:t>
      </w:r>
    </w:p>
    <w:p>
      <w:pPr>
        <w:spacing w:line="500" w:lineRule="exact"/>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6</w:t>
      </w:r>
      <w:r>
        <w:rPr>
          <w:rFonts w:hint="eastAsia" w:ascii="宋体" w:hAnsi="宋体" w:eastAsia="宋体" w:cs="宋体"/>
          <w:sz w:val="24"/>
          <w:highlight w:val="none"/>
        </w:rPr>
        <w:t>.1 公示期满后，采购人将中标（成交）通知书授予该成交供应商。</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7</w:t>
      </w:r>
      <w:r>
        <w:rPr>
          <w:rFonts w:hint="eastAsia" w:ascii="宋体" w:hAnsi="宋体" w:eastAsia="宋体" w:cs="宋体"/>
          <w:b/>
          <w:bCs/>
          <w:sz w:val="24"/>
          <w:highlight w:val="none"/>
        </w:rPr>
        <w:t>．授标时更改采购货物数量的权利</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7</w:t>
      </w:r>
      <w:r>
        <w:rPr>
          <w:rFonts w:hint="eastAsia" w:ascii="宋体" w:hAnsi="宋体" w:eastAsia="宋体" w:cs="宋体"/>
          <w:sz w:val="24"/>
          <w:highlight w:val="none"/>
        </w:rPr>
        <w:t>.1采购人在授予合同时有权在供应商须知前附表规定的幅度内对货物需求中规定的货物数量和服务予以增加或减少，但不得对单价或其它的条款和条件作改变。</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8</w:t>
      </w:r>
      <w:r>
        <w:rPr>
          <w:rFonts w:hint="eastAsia" w:ascii="宋体" w:hAnsi="宋体" w:eastAsia="宋体" w:cs="宋体"/>
          <w:b/>
          <w:bCs/>
          <w:sz w:val="24"/>
          <w:highlight w:val="none"/>
        </w:rPr>
        <w:t>．接受和拒绝任何或所有投标的权力</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8</w:t>
      </w:r>
      <w:r>
        <w:rPr>
          <w:rFonts w:hint="eastAsia" w:ascii="宋体" w:hAnsi="宋体" w:eastAsia="宋体" w:cs="宋体"/>
          <w:sz w:val="24"/>
          <w:highlight w:val="none"/>
        </w:rPr>
        <w:t>.1 如出现重大变故，采购任务取消情况，采购人保留因此原因在授标之前任何时候接受或拒绝任何投标，以及宣布采购无效或拒绝所有投标的权力，对受影响的供应商不承担任何责任。</w:t>
      </w:r>
    </w:p>
    <w:p>
      <w:pPr>
        <w:spacing w:line="500" w:lineRule="exact"/>
        <w:rPr>
          <w:rFonts w:hint="eastAsia" w:ascii="宋体" w:hAnsi="宋体" w:eastAsia="宋体" w:cs="宋体"/>
          <w:b/>
          <w:bCs/>
          <w:sz w:val="24"/>
          <w:highlight w:val="none"/>
        </w:rPr>
      </w:pPr>
      <w:r>
        <w:rPr>
          <w:rFonts w:hint="eastAsia" w:ascii="宋体" w:hAnsi="宋体" w:cs="宋体"/>
          <w:b/>
          <w:bCs/>
          <w:sz w:val="24"/>
          <w:highlight w:val="none"/>
          <w:lang w:val="en-US" w:eastAsia="zh-CN"/>
        </w:rPr>
        <w:t>29</w:t>
      </w:r>
      <w:r>
        <w:rPr>
          <w:rFonts w:hint="eastAsia" w:ascii="宋体" w:hAnsi="宋体" w:eastAsia="宋体" w:cs="宋体"/>
          <w:b/>
          <w:bCs/>
          <w:sz w:val="24"/>
          <w:highlight w:val="none"/>
        </w:rPr>
        <w:t>．签订合同</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29</w:t>
      </w:r>
      <w:r>
        <w:rPr>
          <w:rFonts w:hint="eastAsia" w:ascii="宋体" w:hAnsi="宋体" w:eastAsia="宋体" w:cs="宋体"/>
          <w:sz w:val="24"/>
          <w:highlight w:val="none"/>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pPr>
        <w:spacing w:line="500" w:lineRule="exact"/>
        <w:rPr>
          <w:rFonts w:hint="eastAsia" w:ascii="宋体" w:hAnsi="宋体" w:eastAsia="宋体" w:cs="宋体"/>
          <w:sz w:val="24"/>
          <w:highlight w:val="none"/>
        </w:rPr>
      </w:pPr>
    </w:p>
    <w:p>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七、其    它</w:t>
      </w:r>
    </w:p>
    <w:p>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0</w:t>
      </w:r>
      <w:r>
        <w:rPr>
          <w:rFonts w:hint="eastAsia" w:ascii="宋体" w:hAnsi="宋体" w:eastAsia="宋体" w:cs="宋体"/>
          <w:b/>
          <w:bCs/>
          <w:sz w:val="24"/>
          <w:highlight w:val="none"/>
        </w:rPr>
        <w:t>.保密</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0</w:t>
      </w:r>
      <w:r>
        <w:rPr>
          <w:rFonts w:hint="eastAsia" w:ascii="宋体" w:hAnsi="宋体" w:eastAsia="宋体" w:cs="宋体"/>
          <w:sz w:val="24"/>
          <w:highlight w:val="none"/>
        </w:rPr>
        <w:t>.1评标委员会小组成员以及与评标委员会工作有关的人员不得泄露评标情况以及评标过程中获悉的国家秘密、商业秘密。</w:t>
      </w:r>
    </w:p>
    <w:p>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.禁止行为</w:t>
      </w:r>
    </w:p>
    <w:p>
      <w:pPr>
        <w:snapToGrid w:val="0"/>
        <w:spacing w:line="500" w:lineRule="exact"/>
        <w:rPr>
          <w:rFonts w:hint="eastAsia"/>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1</w:t>
      </w:r>
      <w:r>
        <w:rPr>
          <w:rFonts w:hint="eastAsia" w:ascii="宋体" w:hAnsi="宋体" w:eastAsia="宋体" w:cs="宋体"/>
          <w:sz w:val="24"/>
          <w:highlight w:val="none"/>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highlight w:val="none"/>
        </w:rPr>
        <w:t>（成交）</w:t>
      </w:r>
      <w:r>
        <w:rPr>
          <w:rFonts w:hint="eastAsia" w:ascii="宋体" w:hAnsi="宋体" w:eastAsia="宋体" w:cs="宋体"/>
          <w:sz w:val="24"/>
          <w:highlight w:val="none"/>
        </w:rPr>
        <w:t>；不得以任何方式干扰、影响采购工作。供应商违反政府采购法律法规相关规定的，依法追究法律责任。</w:t>
      </w:r>
    </w:p>
    <w:p>
      <w:pPr>
        <w:numPr>
          <w:ilvl w:val="0"/>
          <w:numId w:val="0"/>
        </w:numPr>
        <w:spacing w:before="190" w:beforeLines="50" w:after="190" w:afterLines="50"/>
        <w:jc w:val="center"/>
        <w:rPr>
          <w:rFonts w:hint="eastAsia" w:ascii="宋体" w:hAnsi="宋体" w:eastAsia="宋体"/>
          <w:b/>
          <w:kern w:val="0"/>
          <w:sz w:val="36"/>
          <w:szCs w:val="36"/>
          <w:highlight w:val="none"/>
          <w:lang w:val="en-US" w:eastAsia="zh-CN"/>
        </w:rPr>
      </w:pPr>
    </w:p>
    <w:p>
      <w:pPr>
        <w:numPr>
          <w:ilvl w:val="0"/>
          <w:numId w:val="0"/>
        </w:numPr>
        <w:spacing w:before="190" w:beforeLines="50" w:after="190" w:afterLines="50"/>
        <w:jc w:val="center"/>
        <w:rPr>
          <w:rFonts w:hint="eastAsia" w:ascii="宋体" w:hAnsi="宋体" w:eastAsia="宋体"/>
          <w:b/>
          <w:kern w:val="0"/>
          <w:sz w:val="36"/>
          <w:szCs w:val="36"/>
          <w:highlight w:val="none"/>
          <w:lang w:val="en-US" w:eastAsia="zh-CN"/>
        </w:rPr>
      </w:pPr>
    </w:p>
    <w:p>
      <w:pPr>
        <w:pStyle w:val="2"/>
        <w:rPr>
          <w:rFonts w:hint="eastAsia" w:ascii="宋体" w:hAnsi="宋体" w:eastAsia="宋体"/>
          <w:b/>
          <w:kern w:val="0"/>
          <w:sz w:val="36"/>
          <w:szCs w:val="36"/>
          <w:highlight w:val="none"/>
          <w:lang w:val="en-US" w:eastAsia="zh-CN"/>
        </w:rPr>
      </w:pPr>
    </w:p>
    <w:p>
      <w:pPr>
        <w:pStyle w:val="2"/>
        <w:rPr>
          <w:rFonts w:hint="eastAsia" w:ascii="宋体" w:hAnsi="宋体" w:eastAsia="宋体"/>
          <w:b/>
          <w:kern w:val="0"/>
          <w:sz w:val="36"/>
          <w:szCs w:val="36"/>
          <w:highlight w:val="none"/>
          <w:lang w:val="en-US" w:eastAsia="zh-CN"/>
        </w:rPr>
      </w:pPr>
    </w:p>
    <w:p>
      <w:pPr>
        <w:pStyle w:val="2"/>
        <w:rPr>
          <w:rFonts w:hint="eastAsia" w:ascii="宋体" w:hAnsi="宋体" w:eastAsia="宋体"/>
          <w:b/>
          <w:kern w:val="0"/>
          <w:sz w:val="36"/>
          <w:szCs w:val="36"/>
          <w:highlight w:val="none"/>
          <w:lang w:val="en-US" w:eastAsia="zh-CN"/>
        </w:rPr>
      </w:pPr>
    </w:p>
    <w:p>
      <w:pPr>
        <w:numPr>
          <w:ilvl w:val="0"/>
          <w:numId w:val="0"/>
        </w:numPr>
        <w:spacing w:before="190" w:beforeLines="50" w:after="190" w:afterLines="50"/>
        <w:jc w:val="center"/>
        <w:rPr>
          <w:rFonts w:hint="eastAsia" w:ascii="宋体" w:hAnsi="宋体" w:eastAsia="宋体"/>
          <w:b/>
          <w:kern w:val="0"/>
          <w:sz w:val="36"/>
          <w:szCs w:val="36"/>
          <w:highlight w:val="none"/>
        </w:rPr>
      </w:pPr>
      <w:r>
        <w:rPr>
          <w:rFonts w:hint="eastAsia" w:ascii="宋体" w:hAnsi="宋体" w:eastAsia="宋体"/>
          <w:b/>
          <w:kern w:val="0"/>
          <w:sz w:val="36"/>
          <w:szCs w:val="36"/>
          <w:highlight w:val="none"/>
          <w:lang w:val="en-US" w:eastAsia="zh-CN"/>
        </w:rPr>
        <w:t>第二章 采购</w:t>
      </w:r>
      <w:r>
        <w:rPr>
          <w:rFonts w:hint="eastAsia" w:ascii="宋体" w:hAnsi="宋体" w:eastAsia="宋体"/>
          <w:b/>
          <w:kern w:val="0"/>
          <w:sz w:val="36"/>
          <w:szCs w:val="36"/>
          <w:highlight w:val="none"/>
        </w:rPr>
        <w:t>项目需求</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预算明细</w:t>
      </w:r>
    </w:p>
    <w:tbl>
      <w:tblPr>
        <w:tblStyle w:val="1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28"/>
        <w:gridCol w:w="1068"/>
        <w:gridCol w:w="169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8" w:type="dxa"/>
            <w:noWrap/>
            <w:vAlign w:val="center"/>
          </w:tcPr>
          <w:p>
            <w:pPr>
              <w:snapToGrid w:val="0"/>
              <w:spacing w:line="500" w:lineRule="exact"/>
              <w:jc w:val="center"/>
              <w:rPr>
                <w:rFonts w:hint="eastAsia" w:ascii="宋体" w:hAnsi="宋体" w:eastAsia="宋体" w:cs="宋体"/>
                <w:b/>
                <w:bCs/>
                <w:sz w:val="24"/>
                <w:lang w:val="en-US" w:eastAsia="zh-CN"/>
              </w:rPr>
            </w:pPr>
            <w:r>
              <w:rPr>
                <w:rFonts w:hint="eastAsia" w:ascii="宋体" w:hAnsi="宋体" w:cs="宋体"/>
                <w:b/>
                <w:bCs/>
                <w:sz w:val="24"/>
                <w:lang w:val="en-US" w:eastAsia="zh-CN"/>
              </w:rPr>
              <w:t>序号</w:t>
            </w:r>
          </w:p>
        </w:tc>
        <w:tc>
          <w:tcPr>
            <w:tcW w:w="3528"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名称</w:t>
            </w:r>
          </w:p>
        </w:tc>
        <w:tc>
          <w:tcPr>
            <w:tcW w:w="1068"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数量</w:t>
            </w:r>
          </w:p>
        </w:tc>
        <w:tc>
          <w:tcPr>
            <w:tcW w:w="1692"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单</w:t>
            </w:r>
            <w:r>
              <w:rPr>
                <w:rFonts w:hint="eastAsia" w:ascii="宋体" w:hAnsi="宋体" w:eastAsia="宋体" w:cs="宋体"/>
                <w:b/>
                <w:bCs/>
                <w:sz w:val="24"/>
              </w:rPr>
              <w:t>价（元）</w:t>
            </w:r>
          </w:p>
        </w:tc>
        <w:tc>
          <w:tcPr>
            <w:tcW w:w="1662"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总</w:t>
            </w:r>
            <w:r>
              <w:rPr>
                <w:rFonts w:hint="eastAsia" w:ascii="宋体" w:hAnsi="宋体" w:eastAsia="宋体" w:cs="宋体"/>
                <w:b/>
                <w:bCs/>
                <w:sz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w:t>
            </w:r>
          </w:p>
        </w:tc>
        <w:tc>
          <w:tcPr>
            <w:tcW w:w="3528" w:type="dxa"/>
            <w:noWrap/>
            <w:vAlign w:val="center"/>
          </w:tcPr>
          <w:p>
            <w:pPr>
              <w:snapToGrid w:val="0"/>
              <w:spacing w:line="500" w:lineRule="exact"/>
              <w:jc w:val="center"/>
              <w:rPr>
                <w:rFonts w:hint="eastAsia" w:ascii="宋体" w:hAnsi="宋体" w:eastAsia="宋体" w:cs="宋体"/>
                <w:sz w:val="24"/>
                <w:lang w:val="en-US" w:eastAsia="zh-CN"/>
              </w:rPr>
            </w:pPr>
            <w:r>
              <w:rPr>
                <w:rFonts w:hint="eastAsia" w:ascii="宋体" w:hAnsi="宋体" w:cs="宋体"/>
                <w:sz w:val="24"/>
                <w:lang w:val="en-US" w:eastAsia="zh-CN"/>
              </w:rPr>
              <w:t>三通道靶控注射泵</w:t>
            </w:r>
          </w:p>
        </w:tc>
        <w:tc>
          <w:tcPr>
            <w:tcW w:w="1068"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1692"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24860</w:t>
            </w:r>
          </w:p>
        </w:tc>
        <w:tc>
          <w:tcPr>
            <w:tcW w:w="1662"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w:t>
            </w:r>
          </w:p>
        </w:tc>
        <w:tc>
          <w:tcPr>
            <w:tcW w:w="3528" w:type="dxa"/>
            <w:noWrap/>
            <w:vAlign w:val="center"/>
          </w:tcPr>
          <w:p>
            <w:pPr>
              <w:snapToGrid w:val="0"/>
              <w:spacing w:line="500" w:lineRule="exact"/>
              <w:jc w:val="center"/>
              <w:rPr>
                <w:rFonts w:hint="eastAsia" w:ascii="宋体" w:hAnsi="宋体" w:cs="宋体"/>
                <w:sz w:val="24"/>
                <w:lang w:val="en-US" w:eastAsia="zh-CN"/>
              </w:rPr>
            </w:pPr>
            <w:r>
              <w:rPr>
                <w:rFonts w:hint="eastAsia" w:ascii="宋体" w:hAnsi="宋体" w:cs="宋体"/>
                <w:sz w:val="24"/>
                <w:lang w:val="en-US" w:eastAsia="zh-CN"/>
              </w:rPr>
              <w:t>三通道静脉微量注射泵</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6</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12500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双道微量注射泵</w:t>
            </w:r>
          </w:p>
        </w:tc>
        <w:tc>
          <w:tcPr>
            <w:tcW w:w="1068" w:type="dxa"/>
            <w:noWrap/>
            <w:vAlign w:val="center"/>
          </w:tcPr>
          <w:p>
            <w:pPr>
              <w:snapToGrid w:val="0"/>
              <w:spacing w:line="500" w:lineRule="exact"/>
              <w:jc w:val="center"/>
              <w:rPr>
                <w:rFonts w:hint="default"/>
                <w:lang w:val="en-US" w:eastAsia="zh-CN"/>
              </w:rPr>
            </w:pPr>
            <w:r>
              <w:rPr>
                <w:rFonts w:hint="eastAsia"/>
                <w:lang w:val="en-US" w:eastAsia="zh-CN"/>
              </w:rPr>
              <w:t>11</w:t>
            </w:r>
          </w:p>
        </w:tc>
        <w:tc>
          <w:tcPr>
            <w:tcW w:w="1692" w:type="dxa"/>
            <w:noWrap/>
            <w:vAlign w:val="center"/>
          </w:tcPr>
          <w:p>
            <w:pPr>
              <w:snapToGrid w:val="0"/>
              <w:spacing w:line="50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6000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4</w:t>
            </w:r>
          </w:p>
        </w:tc>
        <w:tc>
          <w:tcPr>
            <w:tcW w:w="3528" w:type="dxa"/>
            <w:noWrap/>
            <w:vAlign w:val="center"/>
          </w:tcPr>
          <w:p>
            <w:pPr>
              <w:snapToGrid w:val="0"/>
              <w:spacing w:line="500" w:lineRule="exact"/>
              <w:jc w:val="center"/>
              <w:rPr>
                <w:rFonts w:hint="eastAsia" w:ascii="宋体" w:hAnsi="宋体" w:cs="宋体"/>
                <w:sz w:val="24"/>
                <w:lang w:val="en-US" w:eastAsia="zh-CN"/>
              </w:rPr>
            </w:pPr>
            <w:r>
              <w:rPr>
                <w:rFonts w:hint="eastAsia" w:ascii="宋体" w:hAnsi="宋体" w:cs="宋体"/>
                <w:sz w:val="24"/>
                <w:lang w:val="en-US" w:eastAsia="zh-CN"/>
              </w:rPr>
              <w:t>微量注射泵</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w:t>
            </w:r>
          </w:p>
        </w:tc>
        <w:tc>
          <w:tcPr>
            <w:tcW w:w="1692" w:type="dxa"/>
            <w:noWrap/>
            <w:vAlign w:val="center"/>
          </w:tcPr>
          <w:p>
            <w:pPr>
              <w:snapToGrid w:val="0"/>
              <w:spacing w:line="50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3600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输液泵</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5100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6</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转运手术床</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1800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7</w:t>
            </w:r>
          </w:p>
        </w:tc>
        <w:tc>
          <w:tcPr>
            <w:tcW w:w="3528" w:type="dxa"/>
            <w:noWrap/>
            <w:vAlign w:val="center"/>
          </w:tcPr>
          <w:p>
            <w:pPr>
              <w:snapToGrid w:val="0"/>
              <w:spacing w:line="50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诊查床（头部不带孔款）</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10</w:t>
            </w:r>
          </w:p>
        </w:tc>
        <w:tc>
          <w:tcPr>
            <w:tcW w:w="1692" w:type="dxa"/>
            <w:noWrap/>
            <w:vAlign w:val="center"/>
          </w:tcPr>
          <w:p>
            <w:pPr>
              <w:snapToGrid w:val="0"/>
              <w:spacing w:line="50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700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eastAsia" w:ascii="宋体" w:hAnsi="宋体" w:eastAsia="宋体" w:cs="宋体"/>
                <w:kern w:val="2"/>
                <w:sz w:val="24"/>
                <w:highlight w:val="none"/>
                <w:lang w:val="en-US" w:eastAsia="zh-CN" w:bidi="ar-SA"/>
              </w:rPr>
            </w:pPr>
            <w:r>
              <w:rPr>
                <w:rFonts w:hint="eastAsia" w:ascii="宋体" w:hAnsi="宋体" w:cs="宋体"/>
                <w:sz w:val="24"/>
                <w:highlight w:val="none"/>
                <w:lang w:val="en-US" w:eastAsia="zh-CN"/>
              </w:rPr>
              <w:t>8</w:t>
            </w:r>
          </w:p>
        </w:tc>
        <w:tc>
          <w:tcPr>
            <w:tcW w:w="3528" w:type="dxa"/>
            <w:noWrap/>
            <w:vAlign w:val="center"/>
          </w:tcPr>
          <w:p>
            <w:pPr>
              <w:snapToGrid w:val="0"/>
              <w:spacing w:line="500" w:lineRule="exact"/>
              <w:jc w:val="center"/>
              <w:rPr>
                <w:rFonts w:hint="default" w:ascii="宋体" w:hAnsi="宋体" w:eastAsia="宋体" w:cs="宋体"/>
                <w:kern w:val="2"/>
                <w:sz w:val="24"/>
                <w:highlight w:val="none"/>
                <w:lang w:val="en-US" w:eastAsia="zh-CN" w:bidi="ar-SA"/>
              </w:rPr>
            </w:pPr>
            <w:r>
              <w:rPr>
                <w:rFonts w:hint="eastAsia" w:ascii="宋体" w:hAnsi="宋体" w:cs="宋体"/>
                <w:sz w:val="24"/>
                <w:highlight w:val="none"/>
                <w:lang w:val="en-US" w:eastAsia="zh-CN"/>
              </w:rPr>
              <w:t>诊查床（头部带孔款）</w:t>
            </w:r>
          </w:p>
        </w:tc>
        <w:tc>
          <w:tcPr>
            <w:tcW w:w="1068" w:type="dxa"/>
            <w:noWrap/>
            <w:vAlign w:val="center"/>
          </w:tcPr>
          <w:p>
            <w:pPr>
              <w:snapToGrid w:val="0"/>
              <w:spacing w:line="500" w:lineRule="exact"/>
              <w:jc w:val="center"/>
              <w:rPr>
                <w:rFonts w:hint="eastAsia" w:ascii="宋体" w:hAnsi="宋体" w:eastAsia="宋体" w:cs="宋体"/>
                <w:kern w:val="2"/>
                <w:sz w:val="24"/>
                <w:lang w:val="en-US" w:eastAsia="zh-CN" w:bidi="ar-SA"/>
              </w:rPr>
            </w:pPr>
            <w:r>
              <w:rPr>
                <w:rFonts w:hint="eastAsia" w:ascii="宋体" w:hAnsi="宋体" w:cs="宋体"/>
                <w:sz w:val="24"/>
                <w:lang w:val="en-US" w:eastAsia="zh-CN"/>
              </w:rPr>
              <w:t>1</w:t>
            </w:r>
          </w:p>
        </w:tc>
        <w:tc>
          <w:tcPr>
            <w:tcW w:w="1692" w:type="dxa"/>
            <w:noWrap/>
            <w:vAlign w:val="center"/>
          </w:tcPr>
          <w:p>
            <w:pPr>
              <w:snapToGrid w:val="0"/>
              <w:spacing w:line="500" w:lineRule="exact"/>
              <w:jc w:val="center"/>
              <w:rPr>
                <w:rFonts w:hint="default" w:ascii="宋体" w:hAnsi="宋体" w:eastAsia="宋体" w:cs="宋体"/>
                <w:kern w:val="2"/>
                <w:sz w:val="24"/>
                <w:highlight w:val="none"/>
                <w:lang w:val="en-US" w:eastAsia="zh-CN" w:bidi="ar-SA"/>
              </w:rPr>
            </w:pPr>
            <w:r>
              <w:rPr>
                <w:rFonts w:hint="eastAsia" w:ascii="宋体" w:hAnsi="宋体" w:cs="宋体"/>
                <w:kern w:val="2"/>
                <w:sz w:val="24"/>
                <w:highlight w:val="none"/>
                <w:lang w:val="en-US" w:eastAsia="zh-CN" w:bidi="ar-SA"/>
              </w:rPr>
              <w:t>750</w:t>
            </w:r>
          </w:p>
        </w:tc>
        <w:tc>
          <w:tcPr>
            <w:tcW w:w="1662" w:type="dxa"/>
            <w:noWrap/>
            <w:vAlign w:val="center"/>
          </w:tcPr>
          <w:p>
            <w:pPr>
              <w:snapToGrid w:val="0"/>
              <w:spacing w:line="500" w:lineRule="exact"/>
              <w:jc w:val="center"/>
              <w:rPr>
                <w:rFonts w:hint="default" w:ascii="宋体" w:hAnsi="宋体" w:eastAsia="宋体" w:cs="宋体"/>
                <w:kern w:val="2"/>
                <w:sz w:val="24"/>
                <w:lang w:val="en-US" w:eastAsia="zh-CN" w:bidi="ar-SA"/>
              </w:rPr>
            </w:pPr>
            <w:r>
              <w:rPr>
                <w:rFonts w:hint="eastAsia" w:ascii="宋体" w:hAnsi="宋体" w:cs="宋体"/>
                <w:kern w:val="2"/>
                <w:sz w:val="24"/>
                <w:lang w:val="en-US" w:eastAsia="zh-CN" w:bidi="ar-SA"/>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9</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病历车</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w:t>
            </w:r>
          </w:p>
        </w:tc>
        <w:tc>
          <w:tcPr>
            <w:tcW w:w="1692" w:type="dxa"/>
            <w:noWrap/>
            <w:vAlign w:val="center"/>
          </w:tcPr>
          <w:p>
            <w:pPr>
              <w:snapToGrid w:val="0"/>
              <w:spacing w:line="500" w:lineRule="exact"/>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1250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10</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器械车</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570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11</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抢救车</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4</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2200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12</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取药车</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7</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1700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13</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麻醉车</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6</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1900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14</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小氧气筒</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420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15</w:t>
            </w:r>
          </w:p>
        </w:tc>
        <w:tc>
          <w:tcPr>
            <w:tcW w:w="3528" w:type="dxa"/>
            <w:noWrap/>
            <w:vAlign w:val="center"/>
          </w:tcPr>
          <w:p>
            <w:pPr>
              <w:snapToGrid w:val="0"/>
              <w:spacing w:line="500" w:lineRule="exact"/>
              <w:jc w:val="center"/>
              <w:rPr>
                <w:rFonts w:hint="eastAsia" w:ascii="宋体" w:hAnsi="宋体" w:cs="宋体"/>
                <w:sz w:val="24"/>
                <w:lang w:val="en-US" w:eastAsia="zh-CN"/>
              </w:rPr>
            </w:pPr>
            <w:r>
              <w:rPr>
                <w:rFonts w:hint="eastAsia" w:ascii="宋体" w:hAnsi="宋体" w:cs="宋体"/>
                <w:sz w:val="24"/>
                <w:lang w:val="en-US" w:eastAsia="zh-CN"/>
              </w:rPr>
              <w:t>治疗盘</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15</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230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16</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轮椅</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6</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360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17</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红外线治疗仪</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550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18</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蛇皮灯</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19</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紫外线灯车</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7</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400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20</w:t>
            </w:r>
          </w:p>
        </w:tc>
        <w:tc>
          <w:tcPr>
            <w:tcW w:w="352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体重秤</w:t>
            </w:r>
          </w:p>
        </w:tc>
        <w:tc>
          <w:tcPr>
            <w:tcW w:w="10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7</w:t>
            </w:r>
          </w:p>
        </w:tc>
        <w:tc>
          <w:tcPr>
            <w:tcW w:w="169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550</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56" w:type="dxa"/>
            <w:gridSpan w:val="4"/>
            <w:noWrap/>
            <w:vAlign w:val="center"/>
          </w:tcPr>
          <w:p>
            <w:pPr>
              <w:snapToGrid w:val="0"/>
              <w:spacing w:line="500" w:lineRule="exact"/>
              <w:jc w:val="center"/>
              <w:rPr>
                <w:rFonts w:hint="eastAsia" w:ascii="宋体" w:hAnsi="宋体" w:cs="宋体"/>
                <w:sz w:val="24"/>
                <w:lang w:val="en-US" w:eastAsia="zh-CN"/>
              </w:rPr>
            </w:pPr>
            <w:r>
              <w:rPr>
                <w:rFonts w:hint="eastAsia" w:ascii="宋体" w:hAnsi="宋体" w:cs="宋体"/>
                <w:b/>
                <w:bCs/>
                <w:sz w:val="24"/>
                <w:lang w:val="en-US" w:eastAsia="zh-CN"/>
              </w:rPr>
              <w:t>合  计</w:t>
            </w:r>
          </w:p>
        </w:tc>
        <w:tc>
          <w:tcPr>
            <w:tcW w:w="1662"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260000</w:t>
            </w:r>
          </w:p>
        </w:tc>
      </w:tr>
    </w:tbl>
    <w:p>
      <w:pPr>
        <w:pStyle w:val="18"/>
        <w:numPr>
          <w:ilvl w:val="0"/>
          <w:numId w:val="0"/>
        </w:numPr>
        <w:tabs>
          <w:tab w:val="left" w:pos="8280"/>
        </w:tabs>
        <w:rPr>
          <w:rFonts w:hint="eastAsia" w:ascii="宋体" w:hAnsi="宋体" w:eastAsia="宋体" w:cs="宋体"/>
          <w:kern w:val="2"/>
          <w:sz w:val="24"/>
          <w:szCs w:val="24"/>
          <w:highlight w:val="none"/>
          <w:lang w:val="en-US" w:eastAsia="zh-CN" w:bidi="ar-SA"/>
        </w:rPr>
      </w:pPr>
    </w:p>
    <w:p>
      <w:pPr>
        <w:widowControl/>
        <w:numPr>
          <w:ilvl w:val="0"/>
          <w:numId w:val="3"/>
        </w:numPr>
        <w:tabs>
          <w:tab w:val="left" w:pos="1983"/>
        </w:tabs>
        <w:snapToGrid w:val="0"/>
        <w:spacing w:line="360" w:lineRule="auto"/>
        <w:jc w:val="left"/>
        <w:rPr>
          <w:rFonts w:hint="eastAsia" w:ascii="宋体" w:hAnsi="宋体" w:eastAsia="宋体" w:cs="宋体"/>
          <w:sz w:val="24"/>
          <w:highlight w:val="none"/>
          <w:lang w:eastAsia="zh-CN"/>
        </w:rPr>
      </w:pPr>
      <w:r>
        <w:rPr>
          <w:rFonts w:hint="eastAsia" w:ascii="宋体" w:hAnsi="宋体" w:eastAsia="宋体" w:cs="宋体"/>
          <w:b/>
          <w:bCs/>
          <w:sz w:val="24"/>
          <w:highlight w:val="none"/>
          <w:lang w:val="en-US" w:eastAsia="zh-CN"/>
        </w:rPr>
        <w:t>采购需求：</w:t>
      </w:r>
    </w:p>
    <w:p>
      <w:pPr>
        <w:adjustRightInd w:val="0"/>
        <w:spacing w:line="360" w:lineRule="auto"/>
        <w:rPr>
          <w:rFonts w:hint="eastAsia" w:ascii="宋体" w:hAnsi="宋体" w:cs="Arial"/>
          <w:b/>
          <w:bCs w:val="0"/>
          <w:sz w:val="24"/>
          <w:highlight w:val="none"/>
          <w:lang w:val="en-US" w:eastAsia="zh-CN"/>
        </w:rPr>
      </w:pPr>
      <w:r>
        <w:rPr>
          <w:rFonts w:hint="eastAsia" w:ascii="宋体" w:hAnsi="宋体" w:cs="Arial"/>
          <w:b/>
          <w:bCs w:val="0"/>
          <w:sz w:val="24"/>
          <w:highlight w:val="none"/>
          <w:lang w:val="en-US" w:eastAsia="zh-CN"/>
        </w:rPr>
        <w:t>（一）</w:t>
      </w:r>
      <w:r>
        <w:rPr>
          <w:rFonts w:hint="eastAsia" w:ascii="宋体" w:hAnsi="宋体" w:cs="宋体"/>
          <w:b/>
          <w:bCs w:val="0"/>
          <w:sz w:val="24"/>
          <w:highlight w:val="none"/>
          <w:lang w:val="en-US" w:eastAsia="zh-CN"/>
        </w:rPr>
        <w:t>三通道靶控注射泵</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1、产品适用范围：与注射器配合使用，用于小剂量精确定量注射镇痛药物。</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2、三通道自由叠加组合，便于转运。</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3、液晶触摸屏：≥3.5寸。</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4、具有药库定制功能。</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5、输液日志可手机下载。</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6、自动识别注射器规格：2ml/3ml、5ml、10ml、20ml、30ml、50/60ml。</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7、注射精度：±2%。</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8、在线滴定功能：安全不中断输液而更改速率。</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9、阻塞回撤功能（Anti-Bolus）：当管路阻塞报警时，自动回撤管路压力。</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10、输注日志开放共享、实时回传。</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11、靶控模式：血浆靶控模式、效应室靶控模式能够快速准确调节血药浓度，维持麻醉平稳。</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12、可预测苏醒时间，误差&lt;10%。</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13、支持丙泊酚、舒芬太尼、瑞芬太尼及多种常见麻醉类药物多种药代模型，包含丙泊酚 Eleveld模型、小儿模型。</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14、内置DERS功能（Dose-error Reduction Software）。</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15、支持图形化统计和预测血药浓度，智能调节目标血药浓度，控制麻醉深度。</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16、在位检测确保注射器安装到位。</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17、外置适配器。</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18、注射模式：包括但不限于速度模式，体重模式，药物库模式，梯度模式，序列模式，首剂量模式，间歇模式，微量模式，中继模式，TCI 模式等。</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19、报警功能：包括但不限于注射器安装错误、输注阻塞、注射器排空、输注完成、推头安装错误、电池耗尽、电机故障、推柄位置错误等。</w:t>
      </w:r>
    </w:p>
    <w:p>
      <w:pPr>
        <w:adjustRightInd w:val="0"/>
        <w:spacing w:line="360" w:lineRule="auto"/>
        <w:ind w:firstLine="480" w:firstLineChars="200"/>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20、智能化：连入输注工作站、输液信息采集系统，可接入护理系统、中央监护系统，可免费与医院 HIS 系统连接。</w:t>
      </w:r>
    </w:p>
    <w:p>
      <w:pPr>
        <w:adjustRightInd w:val="0"/>
        <w:spacing w:line="360" w:lineRule="auto"/>
        <w:rPr>
          <w:rFonts w:hint="eastAsia" w:ascii="宋体" w:hAnsi="宋体" w:cs="宋体"/>
          <w:b/>
          <w:bCs w:val="0"/>
          <w:sz w:val="24"/>
          <w:highlight w:val="none"/>
          <w:lang w:val="en-US" w:eastAsia="zh-CN"/>
        </w:rPr>
      </w:pPr>
      <w:r>
        <w:rPr>
          <w:rFonts w:hint="eastAsia" w:ascii="宋体" w:hAnsi="宋体" w:cs="Arial"/>
          <w:b/>
          <w:bCs w:val="0"/>
          <w:sz w:val="24"/>
          <w:highlight w:val="none"/>
          <w:lang w:val="en-US" w:eastAsia="zh-CN"/>
        </w:rPr>
        <w:t>（二）</w:t>
      </w:r>
      <w:r>
        <w:rPr>
          <w:rFonts w:hint="eastAsia" w:ascii="宋体" w:hAnsi="宋体" w:cs="宋体"/>
          <w:b/>
          <w:bCs w:val="0"/>
          <w:sz w:val="24"/>
          <w:highlight w:val="none"/>
          <w:lang w:val="en-US" w:eastAsia="zh-CN"/>
        </w:rPr>
        <w:t>三通道静脉微量注射泵</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1、注射器规格：5ml、10ml、20ml、30ml、50/60ml。</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2、预置范围：0.01-9999.99ml,最小步进数 0.01ml。</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3、注射速度：</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5ml 注射器：0.01-150ml/h</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10ml 注射器：0.01-400ml/h</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20ml 注射器：0.01-600ml/h</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30ml 注射器：0.01-1000ml/h</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50/60ml 注射器：0.01-2100ml/h</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4、注射精度：±3%。</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5、快推速度：1-2000ml/h连续可调。</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rFonts w:hint="eastAsia" w:ascii="宋体" w:hAnsi="宋体" w:eastAsia="宋体" w:cs="宋体"/>
          <w:b w:val="0"/>
          <w:bCs w:val="0"/>
          <w:sz w:val="24"/>
          <w:highlight w:val="none"/>
          <w:lang w:val="en-US" w:eastAsia="zh-CN"/>
        </w:rPr>
        <w:t>注射模式：</w:t>
      </w:r>
      <w:r>
        <w:rPr>
          <w:rFonts w:hint="eastAsia" w:ascii="宋体" w:hAnsi="宋体" w:cs="宋体"/>
          <w:b w:val="0"/>
          <w:bCs w:val="0"/>
          <w:sz w:val="24"/>
          <w:highlight w:val="none"/>
          <w:lang w:val="en-US" w:eastAsia="zh-CN"/>
        </w:rPr>
        <w:t>包括但不限于</w:t>
      </w:r>
      <w:r>
        <w:rPr>
          <w:rFonts w:hint="eastAsia" w:ascii="宋体" w:hAnsi="宋体" w:eastAsia="宋体" w:cs="宋体"/>
          <w:sz w:val="24"/>
          <w:highlight w:val="none"/>
          <w:lang w:val="en-US" w:eastAsia="zh-CN"/>
        </w:rPr>
        <w:t>速度模式、速度-时间模式、速度-总量模式、时间-总量模式、药库模式、体重模式</w:t>
      </w:r>
      <w:r>
        <w:rPr>
          <w:rFonts w:hint="eastAsia" w:ascii="宋体" w:hAnsi="宋体" w:cs="宋体"/>
          <w:sz w:val="24"/>
          <w:highlight w:val="none"/>
          <w:lang w:val="en-US" w:eastAsia="zh-CN"/>
        </w:rPr>
        <w:t>等</w:t>
      </w:r>
      <w:r>
        <w:rPr>
          <w:rFonts w:hint="eastAsia" w:ascii="宋体" w:hAnsi="宋体" w:eastAsia="宋体" w:cs="宋体"/>
          <w:sz w:val="24"/>
          <w:highlight w:val="none"/>
          <w:lang w:val="en-US" w:eastAsia="zh-CN"/>
        </w:rPr>
        <w:t>。</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7、KVO 速率：</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输液速度≥10ml/h，KVO 速率 3ml/h </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输液速度≥1ml/h 且&lt;10ml/h，KVO 速率 1ml/h </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输液速度&lt;1ml/h，KVO 速率=设定的速率</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8、报警功能：</w:t>
      </w:r>
      <w:r>
        <w:rPr>
          <w:rFonts w:hint="eastAsia" w:ascii="宋体" w:hAnsi="宋体" w:cs="Arial"/>
          <w:b w:val="0"/>
          <w:bCs/>
          <w:sz w:val="24"/>
          <w:highlight w:val="none"/>
          <w:lang w:val="en-US" w:eastAsia="zh-CN"/>
        </w:rPr>
        <w:t>包括但不限于</w:t>
      </w:r>
      <w:r>
        <w:rPr>
          <w:rFonts w:hint="eastAsia" w:ascii="宋体" w:hAnsi="宋体" w:eastAsia="宋体" w:cs="宋体"/>
          <w:sz w:val="24"/>
          <w:highlight w:val="none"/>
          <w:lang w:val="en-US" w:eastAsia="zh-CN"/>
        </w:rPr>
        <w:t>规格错误、推柄错误、阻塞、输注完成、电池耗尽、电池/网电同时断开、电机故障、通讯故障、内电通讯故障、暂停超时</w:t>
      </w:r>
      <w:r>
        <w:rPr>
          <w:rFonts w:hint="eastAsia" w:ascii="宋体" w:hAnsi="宋体" w:cs="宋体"/>
          <w:sz w:val="24"/>
          <w:highlight w:val="none"/>
          <w:lang w:val="en-US" w:eastAsia="zh-CN"/>
        </w:rPr>
        <w:t>等</w:t>
      </w:r>
      <w:r>
        <w:rPr>
          <w:rFonts w:hint="eastAsia" w:ascii="宋体" w:hAnsi="宋体" w:eastAsia="宋体" w:cs="宋体"/>
          <w:sz w:val="24"/>
          <w:highlight w:val="none"/>
          <w:lang w:val="en-US" w:eastAsia="zh-CN"/>
        </w:rPr>
        <w:t>。</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9、阻塞报警值：最高 130kpa±30kpa，最低 26kpa±20kpa，</w:t>
      </w:r>
      <w:r>
        <w:rPr>
          <w:rFonts w:hint="eastAsia" w:ascii="宋体" w:hAnsi="宋体" w:cs="宋体"/>
          <w:sz w:val="24"/>
          <w:highlight w:val="none"/>
          <w:lang w:val="en-US" w:eastAsia="zh-CN"/>
        </w:rPr>
        <w:t>多</w:t>
      </w:r>
      <w:r>
        <w:rPr>
          <w:rFonts w:hint="eastAsia" w:ascii="宋体" w:hAnsi="宋体" w:eastAsia="宋体" w:cs="宋体"/>
          <w:sz w:val="24"/>
          <w:highlight w:val="none"/>
          <w:lang w:val="en-US" w:eastAsia="zh-CN"/>
        </w:rPr>
        <w:t>档可调。</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、电池：支持设备正常使用≥5小时以上</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 组合三通道</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、液晶触摸屏及按键双重操作模式</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、阻塞智能消除：当管路阻塞报警时，自动回撤管路压力。</w:t>
      </w:r>
    </w:p>
    <w:p>
      <w:pPr>
        <w:spacing w:line="500" w:lineRule="exact"/>
        <w:ind w:firstLine="427" w:firstLineChars="178"/>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14</w:t>
      </w:r>
      <w:r>
        <w:rPr>
          <w:rFonts w:hint="eastAsia" w:ascii="宋体" w:hAnsi="宋体" w:eastAsia="宋体" w:cs="宋体"/>
          <w:sz w:val="24"/>
          <w:highlight w:val="none"/>
          <w:lang w:val="en-US" w:eastAsia="zh-CN"/>
        </w:rPr>
        <w:t>、智能化：连入输注工作站、输液信息采集系统，可接入护理系统、中央监 护系统，可</w:t>
      </w:r>
      <w:r>
        <w:rPr>
          <w:rFonts w:hint="eastAsia" w:ascii="宋体" w:hAnsi="宋体" w:cs="宋体"/>
          <w:sz w:val="24"/>
          <w:highlight w:val="none"/>
          <w:lang w:val="en-US" w:eastAsia="zh-CN"/>
        </w:rPr>
        <w:t>免费</w:t>
      </w:r>
      <w:r>
        <w:rPr>
          <w:rFonts w:hint="eastAsia" w:ascii="宋体" w:hAnsi="宋体" w:eastAsia="宋体" w:cs="宋体"/>
          <w:sz w:val="24"/>
          <w:highlight w:val="none"/>
          <w:lang w:val="en-US" w:eastAsia="zh-CN"/>
        </w:rPr>
        <w:t>与医院 HIS 系统连接。</w:t>
      </w:r>
    </w:p>
    <w:p>
      <w:pPr>
        <w:spacing w:line="50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（三）双道微量注射泵</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注射器规格</w:t>
      </w:r>
      <w:r>
        <w:rPr>
          <w:rFonts w:hint="eastAsia" w:ascii="宋体" w:hAnsi="宋体" w:cs="宋体"/>
          <w:sz w:val="24"/>
          <w:highlight w:val="none"/>
          <w:lang w:eastAsia="zh-CN"/>
        </w:rPr>
        <w:t>：</w:t>
      </w:r>
      <w:r>
        <w:rPr>
          <w:rFonts w:hint="eastAsia" w:ascii="宋体" w:hAnsi="宋体" w:eastAsia="宋体" w:cs="宋体"/>
          <w:sz w:val="24"/>
          <w:highlight w:val="none"/>
        </w:rPr>
        <w:t>10 ml、20ml、30ml、50ml</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注射速率 </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50ml：0.1ml/h---1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00ml/h（0.1-999ml每级0.1ml/h，1000ml以上每级1ml/h）</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30ml：0.1ml/h---600ml/h（每级0.1ml/h）</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20ml：0.1ml/h---399.9ml/h（每级0.1ml/h）</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10ml：0.1ml/h---300ml/h（每级0.1ml/h）</w:t>
      </w:r>
    </w:p>
    <w:p>
      <w:pPr>
        <w:spacing w:line="5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快速推注</w:t>
      </w:r>
      <w:r>
        <w:rPr>
          <w:rFonts w:hint="eastAsia" w:ascii="宋体" w:hAnsi="宋体" w:eastAsia="宋体" w:cs="宋体"/>
          <w:sz w:val="24"/>
          <w:highlight w:val="none"/>
          <w:lang w:eastAsia="zh-CN"/>
        </w:rPr>
        <w:t>：</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00ml/h (50ml注射器)</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600.0ml/h ( 30m</w:t>
      </w:r>
      <w:r>
        <w:rPr>
          <w:rFonts w:hint="eastAsia" w:ascii="宋体" w:hAnsi="宋体" w:cs="宋体"/>
          <w:sz w:val="24"/>
          <w:highlight w:val="none"/>
          <w:lang w:val="en-US" w:eastAsia="zh-CN"/>
        </w:rPr>
        <w:t>l</w:t>
      </w:r>
      <w:r>
        <w:rPr>
          <w:rFonts w:hint="eastAsia" w:ascii="宋体" w:hAnsi="宋体" w:eastAsia="宋体" w:cs="宋体"/>
          <w:sz w:val="24"/>
          <w:highlight w:val="none"/>
        </w:rPr>
        <w:t>注射器)</w:t>
      </w:r>
      <w:r>
        <w:rPr>
          <w:rFonts w:hint="eastAsia" w:ascii="宋体" w:hAnsi="宋体" w:eastAsia="宋体" w:cs="宋体"/>
          <w:sz w:val="24"/>
          <w:highlight w:val="none"/>
          <w:lang w:eastAsia="zh-CN"/>
        </w:rPr>
        <w:t>，</w:t>
      </w:r>
      <w:r>
        <w:rPr>
          <w:rFonts w:hint="eastAsia" w:ascii="宋体" w:hAnsi="宋体" w:eastAsia="宋体" w:cs="宋体"/>
          <w:sz w:val="24"/>
          <w:highlight w:val="none"/>
        </w:rPr>
        <w:t>399.9ml/h ( 20ml注射器)</w:t>
      </w:r>
      <w:r>
        <w:rPr>
          <w:rFonts w:hint="eastAsia" w:ascii="宋体" w:hAnsi="宋体" w:eastAsia="宋体" w:cs="宋体"/>
          <w:sz w:val="24"/>
          <w:highlight w:val="none"/>
          <w:lang w:eastAsia="zh-CN"/>
        </w:rPr>
        <w:t>，</w:t>
      </w:r>
      <w:r>
        <w:rPr>
          <w:rFonts w:hint="eastAsia" w:ascii="宋体" w:hAnsi="宋体" w:eastAsia="宋体" w:cs="宋体"/>
          <w:sz w:val="24"/>
          <w:highlight w:val="none"/>
        </w:rPr>
        <w:t>300.0ml/h (</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0ml注射器)</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累计容量</w:t>
      </w:r>
      <w:r>
        <w:rPr>
          <w:rFonts w:hint="eastAsia" w:ascii="宋体" w:hAnsi="宋体" w:eastAsia="宋体" w:cs="宋体"/>
          <w:sz w:val="24"/>
          <w:highlight w:val="none"/>
          <w:lang w:eastAsia="zh-CN"/>
        </w:rPr>
        <w:t>：</w:t>
      </w:r>
      <w:r>
        <w:rPr>
          <w:rFonts w:hint="eastAsia" w:ascii="宋体" w:hAnsi="宋体" w:eastAsia="宋体" w:cs="宋体"/>
          <w:sz w:val="24"/>
          <w:highlight w:val="none"/>
        </w:rPr>
        <w:t>0.1—9999ml（0.1-999</w:t>
      </w:r>
      <w:r>
        <w:rPr>
          <w:rFonts w:hint="eastAsia" w:ascii="宋体" w:hAnsi="宋体" w:cs="宋体"/>
          <w:sz w:val="24"/>
          <w:highlight w:val="none"/>
          <w:lang w:val="en-US" w:eastAsia="zh-CN"/>
        </w:rPr>
        <w:t>ml</w:t>
      </w:r>
      <w:r>
        <w:rPr>
          <w:rFonts w:hint="eastAsia" w:ascii="宋体" w:hAnsi="宋体" w:eastAsia="宋体" w:cs="宋体"/>
          <w:sz w:val="24"/>
          <w:highlight w:val="none"/>
        </w:rPr>
        <w:t>，以0.1ml/h递增；1000ml以上，以1ml/h递增）</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限制量</w:t>
      </w:r>
      <w:r>
        <w:rPr>
          <w:rFonts w:hint="eastAsia" w:ascii="宋体" w:hAnsi="宋体" w:eastAsia="宋体" w:cs="宋体"/>
          <w:sz w:val="24"/>
          <w:highlight w:val="none"/>
          <w:lang w:eastAsia="zh-CN"/>
        </w:rPr>
        <w:t>：</w:t>
      </w:r>
      <w:r>
        <w:rPr>
          <w:rFonts w:hint="eastAsia" w:ascii="宋体" w:hAnsi="宋体" w:eastAsia="宋体" w:cs="宋体"/>
          <w:sz w:val="24"/>
          <w:highlight w:val="none"/>
        </w:rPr>
        <w:t>0—9999ml</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精度≤±2% </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7</w:t>
      </w:r>
      <w:r>
        <w:rPr>
          <w:rFonts w:hint="eastAsia" w:ascii="宋体" w:hAnsi="宋体" w:eastAsia="宋体" w:cs="宋体"/>
          <w:sz w:val="24"/>
          <w:highlight w:val="none"/>
          <w:lang w:eastAsia="zh-CN"/>
        </w:rPr>
        <w:t>、</w:t>
      </w:r>
      <w:r>
        <w:rPr>
          <w:rFonts w:hint="eastAsia" w:ascii="宋体" w:hAnsi="宋体" w:eastAsia="宋体" w:cs="宋体"/>
          <w:sz w:val="24"/>
          <w:highlight w:val="none"/>
        </w:rPr>
        <w:t>电池：支持设备正常使用≥</w:t>
      </w:r>
      <w:r>
        <w:rPr>
          <w:rFonts w:hint="eastAsia" w:ascii="宋体" w:hAnsi="宋体" w:cs="宋体"/>
          <w:sz w:val="24"/>
          <w:highlight w:val="none"/>
          <w:lang w:val="en-US" w:eastAsia="zh-CN"/>
        </w:rPr>
        <w:t>3</w:t>
      </w:r>
      <w:r>
        <w:rPr>
          <w:rFonts w:hint="eastAsia" w:ascii="宋体" w:hAnsi="宋体" w:eastAsia="宋体" w:cs="宋体"/>
          <w:sz w:val="24"/>
          <w:highlight w:val="none"/>
        </w:rPr>
        <w:t>小时以上</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注射过程中快速推注</w:t>
      </w:r>
      <w:r>
        <w:rPr>
          <w:rFonts w:hint="eastAsia" w:ascii="宋体" w:hAnsi="宋体" w:eastAsia="宋体" w:cs="宋体"/>
          <w:sz w:val="24"/>
          <w:highlight w:val="none"/>
          <w:lang w:eastAsia="zh-CN"/>
        </w:rPr>
        <w:t>，配有</w:t>
      </w:r>
      <w:r>
        <w:rPr>
          <w:rFonts w:hint="eastAsia" w:ascii="宋体" w:hAnsi="宋体" w:eastAsia="宋体" w:cs="宋体"/>
          <w:sz w:val="24"/>
          <w:highlight w:val="none"/>
        </w:rPr>
        <w:t>快速推进键保险</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sz w:val="24"/>
          <w:highlight w:val="none"/>
          <w:lang w:eastAsia="zh-CN"/>
        </w:rPr>
        <w:t>、</w:t>
      </w:r>
      <w:r>
        <w:rPr>
          <w:rFonts w:hint="eastAsia" w:ascii="宋体" w:hAnsi="宋体" w:eastAsia="宋体" w:cs="宋体"/>
          <w:sz w:val="24"/>
          <w:highlight w:val="none"/>
        </w:rPr>
        <w:t>报警</w:t>
      </w:r>
      <w:r>
        <w:rPr>
          <w:rFonts w:hint="eastAsia" w:ascii="宋体" w:hAnsi="宋体" w:eastAsia="宋体" w:cs="宋体"/>
          <w:sz w:val="24"/>
          <w:highlight w:val="none"/>
          <w:lang w:eastAsia="zh-CN"/>
        </w:rPr>
        <w:t>种类：</w:t>
      </w:r>
      <w:r>
        <w:rPr>
          <w:rFonts w:hint="eastAsia" w:ascii="宋体" w:hAnsi="宋体" w:eastAsia="宋体" w:cs="宋体"/>
          <w:sz w:val="24"/>
          <w:highlight w:val="none"/>
          <w:lang w:val="en-US" w:eastAsia="zh-CN"/>
        </w:rPr>
        <w:t>包括但不限于</w:t>
      </w:r>
      <w:r>
        <w:rPr>
          <w:rFonts w:hint="eastAsia" w:ascii="宋体" w:hAnsi="宋体" w:eastAsia="宋体" w:cs="宋体"/>
          <w:sz w:val="24"/>
          <w:highlight w:val="none"/>
        </w:rPr>
        <w:t>残留提示、注射完毕报警、阻塞报警、针筒装夹不正确报警、注射器推杆安装错误报警、系统出错报警、开机后遗忘操作报警</w:t>
      </w:r>
      <w:r>
        <w:rPr>
          <w:rFonts w:hint="eastAsia" w:ascii="宋体" w:hAnsi="宋体" w:cs="宋体"/>
          <w:sz w:val="24"/>
          <w:highlight w:val="none"/>
          <w:lang w:eastAsia="zh-CN"/>
        </w:rPr>
        <w:t>等</w:t>
      </w:r>
      <w:r>
        <w:rPr>
          <w:rFonts w:hint="eastAsia" w:ascii="宋体" w:hAnsi="宋体" w:eastAsia="宋体" w:cs="宋体"/>
          <w:sz w:val="24"/>
          <w:highlight w:val="none"/>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10</w:t>
      </w:r>
      <w:r>
        <w:rPr>
          <w:rFonts w:hint="eastAsia" w:ascii="宋体" w:hAnsi="宋体" w:eastAsia="宋体" w:cs="宋体"/>
          <w:sz w:val="24"/>
          <w:highlight w:val="none"/>
          <w:lang w:eastAsia="zh-CN"/>
        </w:rPr>
        <w:t>、</w:t>
      </w:r>
      <w:r>
        <w:rPr>
          <w:rFonts w:hint="eastAsia" w:ascii="宋体" w:hAnsi="宋体" w:eastAsia="宋体" w:cs="宋体"/>
          <w:sz w:val="24"/>
          <w:highlight w:val="none"/>
        </w:rPr>
        <w:t>自动识别注射器规格</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11</w:t>
      </w:r>
      <w:r>
        <w:rPr>
          <w:rFonts w:hint="eastAsia" w:ascii="宋体" w:hAnsi="宋体" w:eastAsia="宋体" w:cs="宋体"/>
          <w:sz w:val="24"/>
          <w:highlight w:val="none"/>
          <w:lang w:eastAsia="zh-CN"/>
        </w:rPr>
        <w:t>、</w:t>
      </w:r>
      <w:r>
        <w:rPr>
          <w:rFonts w:hint="eastAsia" w:ascii="宋体" w:hAnsi="宋体" w:eastAsia="宋体" w:cs="宋体"/>
          <w:sz w:val="24"/>
          <w:highlight w:val="none"/>
        </w:rPr>
        <w:t>可使用一次性注射器</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12</w:t>
      </w:r>
      <w:r>
        <w:rPr>
          <w:rFonts w:hint="eastAsia" w:ascii="宋体" w:hAnsi="宋体" w:eastAsia="宋体" w:cs="宋体"/>
          <w:sz w:val="24"/>
          <w:highlight w:val="none"/>
          <w:lang w:eastAsia="zh-CN"/>
        </w:rPr>
        <w:t>、</w:t>
      </w:r>
      <w:r>
        <w:rPr>
          <w:rFonts w:hint="eastAsia" w:ascii="宋体" w:hAnsi="宋体" w:eastAsia="宋体" w:cs="宋体"/>
          <w:sz w:val="24"/>
          <w:highlight w:val="none"/>
        </w:rPr>
        <w:t>阻塞后针筒内压力自动释放</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13</w:t>
      </w:r>
      <w:r>
        <w:rPr>
          <w:rFonts w:hint="eastAsia" w:ascii="宋体" w:hAnsi="宋体" w:eastAsia="宋体" w:cs="宋体"/>
          <w:sz w:val="24"/>
          <w:highlight w:val="none"/>
          <w:lang w:eastAsia="zh-CN"/>
        </w:rPr>
        <w:t>、</w:t>
      </w:r>
      <w:r>
        <w:rPr>
          <w:rFonts w:hint="eastAsia" w:ascii="宋体" w:hAnsi="宋体" w:eastAsia="宋体" w:cs="宋体"/>
          <w:sz w:val="24"/>
          <w:highlight w:val="none"/>
        </w:rPr>
        <w:t>可记录500条以上（含500条）历史纪录</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w:t>
      </w:r>
      <w:r>
        <w:rPr>
          <w:rFonts w:hint="eastAsia" w:ascii="宋体" w:hAnsi="宋体" w:eastAsia="宋体" w:cs="宋体"/>
          <w:sz w:val="24"/>
          <w:highlight w:val="none"/>
          <w:lang w:eastAsia="zh-CN"/>
        </w:rPr>
        <w:t>、</w:t>
      </w:r>
      <w:r>
        <w:rPr>
          <w:rFonts w:hint="eastAsia" w:ascii="宋体" w:hAnsi="宋体" w:eastAsia="宋体" w:cs="宋体"/>
          <w:sz w:val="24"/>
          <w:highlight w:val="none"/>
        </w:rPr>
        <w:t>具有压力限制选择：低压（L）、中压（C）、高压(H)，出厂值为中压（C）。</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15</w:t>
      </w:r>
      <w:r>
        <w:rPr>
          <w:rFonts w:hint="eastAsia" w:ascii="宋体" w:hAnsi="宋体" w:eastAsia="宋体" w:cs="宋体"/>
          <w:sz w:val="24"/>
          <w:highlight w:val="none"/>
          <w:lang w:eastAsia="zh-CN"/>
        </w:rPr>
        <w:t>、</w:t>
      </w:r>
      <w:r>
        <w:rPr>
          <w:rFonts w:hint="eastAsia" w:ascii="宋体" w:hAnsi="宋体" w:eastAsia="宋体" w:cs="宋体"/>
          <w:sz w:val="24"/>
          <w:highlight w:val="none"/>
        </w:rPr>
        <w:t>快速输液控制</w:t>
      </w:r>
      <w:r>
        <w:rPr>
          <w:rFonts w:hint="eastAsia" w:ascii="宋体" w:hAnsi="宋体" w:eastAsia="宋体" w:cs="宋体"/>
          <w:sz w:val="24"/>
          <w:highlight w:val="none"/>
          <w:lang w:eastAsia="zh-CN"/>
        </w:rPr>
        <w:t>。</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限制量设定：设定使用限制量，当实际注射总量等于限制量时即发出限制量到报警。</w:t>
      </w:r>
    </w:p>
    <w:p>
      <w:pPr>
        <w:spacing w:line="500" w:lineRule="exact"/>
        <w:ind w:firstLine="241" w:firstLineChars="100"/>
        <w:rPr>
          <w:rFonts w:hint="eastAsia"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w:t>
      </w:r>
      <w:r>
        <w:rPr>
          <w:rFonts w:hint="eastAsia" w:ascii="宋体" w:hAnsi="宋体" w:cs="宋体"/>
          <w:b/>
          <w:bCs/>
          <w:sz w:val="24"/>
          <w:highlight w:val="none"/>
          <w:u w:val="none"/>
          <w:lang w:val="en-US" w:eastAsia="zh-CN"/>
        </w:rPr>
        <w:t>四</w:t>
      </w:r>
      <w:r>
        <w:rPr>
          <w:rFonts w:hint="eastAsia" w:ascii="宋体" w:hAnsi="宋体" w:eastAsia="宋体" w:cs="宋体"/>
          <w:b/>
          <w:bCs/>
          <w:sz w:val="24"/>
          <w:highlight w:val="none"/>
          <w:u w:val="none"/>
          <w:lang w:val="en-US" w:eastAsia="zh-CN"/>
        </w:rPr>
        <w:t>）微量注射泵</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注射器规格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10ml、</w:t>
      </w:r>
      <w:r>
        <w:rPr>
          <w:rFonts w:hint="eastAsia" w:ascii="宋体" w:hAnsi="宋体" w:eastAsia="宋体" w:cs="宋体"/>
          <w:sz w:val="24"/>
          <w:highlight w:val="none"/>
        </w:rPr>
        <w:t>20ml 、30ml 、</w:t>
      </w:r>
      <w:r>
        <w:rPr>
          <w:rFonts w:hint="eastAsia" w:ascii="宋体" w:hAnsi="宋体" w:eastAsia="宋体" w:cs="宋体"/>
          <w:sz w:val="24"/>
          <w:highlight w:val="none"/>
          <w:lang w:val="en-US" w:eastAsia="zh-CN"/>
        </w:rPr>
        <w:t>50/60ml。</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注射速率</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50ml：0.1ml/h---1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00ml/h（0.1-999ml每级0.1ml/h，1000ml以上每级1ml/h）</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30ml：0.1ml/h---600ml/h （每级0.1ml/h）</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20ml：0.1ml/h---399.9ml/h（每级0.1ml/h）</w:t>
      </w:r>
    </w:p>
    <w:p>
      <w:pPr>
        <w:spacing w:line="500" w:lineRule="exact"/>
        <w:ind w:firstLine="427" w:firstLineChars="178"/>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0ml：0.1ml/h---3</w:t>
      </w:r>
      <w:r>
        <w:rPr>
          <w:rFonts w:hint="eastAsia" w:ascii="宋体" w:hAnsi="宋体" w:eastAsia="宋体" w:cs="宋体"/>
          <w:sz w:val="24"/>
          <w:highlight w:val="none"/>
          <w:lang w:val="en-US" w:eastAsia="zh-CN"/>
        </w:rPr>
        <w:t>00.0</w:t>
      </w:r>
      <w:r>
        <w:rPr>
          <w:rFonts w:hint="eastAsia" w:ascii="宋体" w:hAnsi="宋体" w:eastAsia="宋体" w:cs="宋体"/>
          <w:sz w:val="24"/>
          <w:highlight w:val="none"/>
        </w:rPr>
        <w:t>ml/h（每级0.1ml/h）</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快速速率 </w:t>
      </w:r>
      <w:r>
        <w:rPr>
          <w:rFonts w:hint="eastAsia" w:ascii="宋体" w:hAnsi="宋体" w:eastAsia="宋体" w:cs="宋体"/>
          <w:sz w:val="24"/>
          <w:highlight w:val="none"/>
          <w:lang w:eastAsia="zh-CN"/>
        </w:rPr>
        <w:t>：</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00ml/h (50ml 注射器)</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600ml/h ( 30ml注射器)</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 xml:space="preserve">              399.9ml/h ( 20ml 注射器)</w:t>
      </w:r>
    </w:p>
    <w:p>
      <w:pPr>
        <w:spacing w:line="500" w:lineRule="exact"/>
        <w:ind w:firstLine="427" w:firstLineChars="178"/>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00.0</w:t>
      </w:r>
      <w:r>
        <w:rPr>
          <w:rFonts w:hint="eastAsia" w:ascii="宋体" w:hAnsi="宋体" w:eastAsia="宋体" w:cs="宋体"/>
          <w:sz w:val="24"/>
          <w:highlight w:val="none"/>
        </w:rPr>
        <w:t xml:space="preserve">ml/h ( </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0ml 注射器)</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累计容量</w:t>
      </w:r>
      <w:r>
        <w:rPr>
          <w:rFonts w:hint="eastAsia" w:ascii="宋体" w:hAnsi="宋体" w:eastAsia="宋体" w:cs="宋体"/>
          <w:sz w:val="24"/>
          <w:highlight w:val="none"/>
          <w:lang w:eastAsia="zh-CN"/>
        </w:rPr>
        <w:t>：</w:t>
      </w:r>
      <w:r>
        <w:rPr>
          <w:rFonts w:hint="eastAsia" w:ascii="宋体" w:hAnsi="宋体" w:eastAsia="宋体" w:cs="宋体"/>
          <w:sz w:val="24"/>
          <w:highlight w:val="none"/>
        </w:rPr>
        <w:t>0.1---9999ml（0.1-999，以0.1ml/h递增；1000ml以上，以1ml/h递增）</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限制量</w:t>
      </w:r>
      <w:r>
        <w:rPr>
          <w:rFonts w:hint="eastAsia" w:ascii="宋体" w:hAnsi="宋体" w:eastAsia="宋体" w:cs="宋体"/>
          <w:sz w:val="24"/>
          <w:highlight w:val="none"/>
          <w:lang w:eastAsia="zh-CN"/>
        </w:rPr>
        <w:t>：</w:t>
      </w:r>
      <w:r>
        <w:rPr>
          <w:rFonts w:hint="eastAsia" w:ascii="宋体" w:hAnsi="宋体" w:eastAsia="宋体" w:cs="宋体"/>
          <w:sz w:val="24"/>
          <w:highlight w:val="none"/>
        </w:rPr>
        <w:t>0---9999ml</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精度</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1.8</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7、电池：支持设备正常使用≥3小时以上</w:t>
      </w:r>
    </w:p>
    <w:p>
      <w:pPr>
        <w:spacing w:line="500" w:lineRule="exact"/>
        <w:ind w:firstLine="427" w:firstLineChars="178"/>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报警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包括但不限于</w:t>
      </w:r>
      <w:r>
        <w:rPr>
          <w:rFonts w:hint="eastAsia" w:ascii="宋体" w:hAnsi="宋体" w:eastAsia="宋体" w:cs="宋体"/>
          <w:sz w:val="24"/>
          <w:highlight w:val="none"/>
        </w:rPr>
        <w:t>残留提示、注射完毕报警、阻塞报警、针筒装夹不正确报警、注射器推杆安装错误报警、系统出错报警、开机后遗忘操作报警</w:t>
      </w:r>
      <w:r>
        <w:rPr>
          <w:rFonts w:hint="eastAsia" w:ascii="宋体" w:hAnsi="宋体" w:cs="宋体"/>
          <w:sz w:val="24"/>
          <w:highlight w:val="none"/>
          <w:lang w:eastAsia="zh-CN"/>
        </w:rPr>
        <w:t>等</w:t>
      </w:r>
      <w:r>
        <w:rPr>
          <w:rFonts w:hint="eastAsia" w:ascii="宋体" w:hAnsi="宋体" w:eastAsia="宋体" w:cs="宋体"/>
          <w:sz w:val="24"/>
          <w:highlight w:val="none"/>
        </w:rPr>
        <w:t>。</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r>
        <w:rPr>
          <w:rFonts w:hint="eastAsia" w:ascii="宋体" w:hAnsi="宋体" w:eastAsia="宋体" w:cs="宋体"/>
          <w:sz w:val="24"/>
          <w:highlight w:val="none"/>
          <w:lang w:eastAsia="zh-CN"/>
        </w:rPr>
        <w:t>、</w:t>
      </w:r>
      <w:r>
        <w:rPr>
          <w:rFonts w:hint="eastAsia" w:ascii="宋体" w:hAnsi="宋体" w:eastAsia="宋体" w:cs="宋体"/>
          <w:sz w:val="24"/>
          <w:highlight w:val="none"/>
        </w:rPr>
        <w:t>自动识别注射器规格</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lang w:eastAsia="zh-CN"/>
        </w:rPr>
        <w:t>、</w:t>
      </w:r>
      <w:r>
        <w:rPr>
          <w:rFonts w:hint="eastAsia" w:ascii="宋体" w:hAnsi="宋体" w:eastAsia="宋体" w:cs="宋体"/>
          <w:sz w:val="24"/>
          <w:highlight w:val="none"/>
        </w:rPr>
        <w:t>可使用一次性注射器</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阻塞后针筒内压力自动释放</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可记录500条以上（含500条）历史纪录</w:t>
      </w:r>
      <w:r>
        <w:rPr>
          <w:rFonts w:hint="eastAsia" w:ascii="宋体" w:hAnsi="宋体" w:eastAsia="宋体" w:cs="宋体"/>
          <w:sz w:val="24"/>
          <w:highlight w:val="none"/>
          <w:lang w:eastAsia="zh-CN"/>
        </w:rPr>
        <w:t>。</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三档阻塞压力等级选择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低（L）300mmHg±100mmHg</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 xml:space="preserve">                           中（C）500mmHg±100mmHg</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 xml:space="preserve">                           高（H）800mmHg±200mmHg</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限制量设定：设定使用限制量，当实际注射总量等于限制量时即发出限制量到报警。</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cs="宋体"/>
          <w:sz w:val="24"/>
          <w:highlight w:val="none"/>
          <w:lang w:val="en-US" w:eastAsia="zh-CN"/>
        </w:rPr>
        <w:t>15</w:t>
      </w:r>
      <w:r>
        <w:rPr>
          <w:rFonts w:hint="eastAsia" w:ascii="宋体" w:hAnsi="宋体" w:eastAsia="宋体" w:cs="宋体"/>
          <w:sz w:val="24"/>
          <w:highlight w:val="none"/>
          <w:lang w:eastAsia="zh-CN"/>
        </w:rPr>
        <w:t>、</w:t>
      </w:r>
      <w:r>
        <w:rPr>
          <w:rFonts w:hint="eastAsia" w:ascii="宋体" w:hAnsi="宋体" w:cs="宋体"/>
          <w:sz w:val="24"/>
          <w:highlight w:val="none"/>
          <w:lang w:eastAsia="zh-CN"/>
        </w:rPr>
        <w:t>具备</w:t>
      </w:r>
      <w:r>
        <w:rPr>
          <w:rFonts w:hint="eastAsia" w:ascii="宋体" w:hAnsi="宋体" w:eastAsia="宋体" w:cs="宋体"/>
          <w:sz w:val="24"/>
          <w:highlight w:val="none"/>
        </w:rPr>
        <w:t>快速推进键保险</w:t>
      </w:r>
      <w:r>
        <w:rPr>
          <w:rFonts w:hint="eastAsia" w:ascii="宋体" w:hAnsi="宋体" w:cs="宋体"/>
          <w:sz w:val="24"/>
          <w:highlight w:val="none"/>
          <w:lang w:eastAsia="zh-CN"/>
        </w:rPr>
        <w:t>功能。</w:t>
      </w:r>
    </w:p>
    <w:p>
      <w:pPr>
        <w:spacing w:line="500" w:lineRule="exact"/>
        <w:ind w:firstLine="427" w:firstLineChars="178"/>
        <w:rPr>
          <w:rFonts w:hint="eastAsia" w:ascii="宋体" w:hAnsi="宋体" w:eastAsia="宋体" w:cs="宋体"/>
          <w:sz w:val="24"/>
          <w:highlight w:val="none"/>
        </w:rPr>
      </w:pPr>
      <w:r>
        <w:rPr>
          <w:rFonts w:hint="eastAsia" w:ascii="宋体" w:hAnsi="宋体" w:cs="宋体"/>
          <w:sz w:val="24"/>
          <w:highlight w:val="none"/>
          <w:lang w:val="en-US" w:eastAsia="zh-CN"/>
        </w:rPr>
        <w:t>16</w:t>
      </w:r>
      <w:r>
        <w:rPr>
          <w:rFonts w:hint="eastAsia" w:ascii="宋体" w:hAnsi="宋体" w:eastAsia="宋体" w:cs="宋体"/>
          <w:sz w:val="24"/>
          <w:highlight w:val="none"/>
          <w:lang w:eastAsia="zh-CN"/>
        </w:rPr>
        <w:t>、</w:t>
      </w:r>
      <w:r>
        <w:rPr>
          <w:rFonts w:hint="eastAsia" w:ascii="宋体" w:hAnsi="宋体" w:eastAsia="宋体" w:cs="宋体"/>
          <w:sz w:val="24"/>
          <w:highlight w:val="none"/>
        </w:rPr>
        <w:t>注射过程中快速推注</w:t>
      </w:r>
    </w:p>
    <w:p>
      <w:pPr>
        <w:spacing w:line="500" w:lineRule="exact"/>
        <w:rPr>
          <w:rFonts w:hint="eastAsia"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w:t>
      </w:r>
      <w:r>
        <w:rPr>
          <w:rFonts w:hint="eastAsia" w:ascii="宋体" w:hAnsi="宋体" w:cs="宋体"/>
          <w:b/>
          <w:bCs/>
          <w:sz w:val="24"/>
          <w:highlight w:val="none"/>
          <w:u w:val="none"/>
          <w:lang w:val="en-US" w:eastAsia="zh-CN"/>
        </w:rPr>
        <w:t>五</w:t>
      </w:r>
      <w:r>
        <w:rPr>
          <w:rFonts w:hint="eastAsia" w:ascii="宋体" w:hAnsi="宋体" w:eastAsia="宋体" w:cs="宋体"/>
          <w:b/>
          <w:bCs/>
          <w:sz w:val="24"/>
          <w:highlight w:val="none"/>
          <w:u w:val="none"/>
          <w:lang w:val="en-US" w:eastAsia="zh-CN"/>
        </w:rPr>
        <w:t>）输液泵</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1、速度设定范围：0.01ml/h～1800ml/h，以0.01mL/h步进。</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2、输液精度：≤±4.5%。</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3、冲洗速率：1-1800 ml/h。</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4、输液量：0.01ml～9999.99ml，以0.01mL/h 步进。</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5、累计量：0.01ml～9999.99ml，以0.01mL/h 步进。</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6、阻塞压力范围十挡可调：最高：120 kPa±20kPa</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最低：30 kPa±20kPa</w:t>
      </w:r>
      <w:r>
        <w:rPr>
          <w:rFonts w:hint="eastAsia" w:ascii="宋体" w:hAnsi="宋体" w:cs="宋体"/>
          <w:sz w:val="24"/>
          <w:highlight w:val="none"/>
          <w:lang w:val="en-US" w:eastAsia="zh-CN"/>
        </w:rPr>
        <w:t>。</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7、具有KVO（保持静脉开通功能）速率：0.10ml/h～5.00ml/h可调。</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8、气泡探测器：超声波探测方式、探测灵敏度≥25ul。</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9、报警功能：包括但不限于泵门未关闭报警,输注阻塞报警,输注完成报警,管路有气泡报警,电池耗尽报警,电池&amp;网电同时断开报警，电机故障报警</w:t>
      </w:r>
      <w:r>
        <w:rPr>
          <w:rFonts w:hint="eastAsia" w:ascii="宋体" w:hAnsi="宋体" w:cs="宋体"/>
          <w:sz w:val="24"/>
          <w:highlight w:val="none"/>
          <w:lang w:val="en-US" w:eastAsia="zh-CN"/>
        </w:rPr>
        <w:t>等</w:t>
      </w:r>
      <w:r>
        <w:rPr>
          <w:rFonts w:hint="eastAsia" w:ascii="宋体" w:hAnsi="宋体" w:eastAsia="宋体" w:cs="宋体"/>
          <w:sz w:val="24"/>
          <w:highlight w:val="none"/>
          <w:lang w:val="en-US" w:eastAsia="zh-CN"/>
        </w:rPr>
        <w:t>。</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10、电池：支持设备正常使用≥</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小时以上</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、日志功能：可查询输液日志，包括启停、排气/丸剂、报警、重要信息修改等。可储存</w:t>
      </w:r>
      <w:r>
        <w:rPr>
          <w:rFonts w:hint="eastAsia" w:ascii="宋体" w:hAnsi="宋体" w:cs="宋体"/>
          <w:sz w:val="24"/>
          <w:highlight w:val="none"/>
          <w:lang w:val="en-US" w:eastAsia="zh-CN"/>
        </w:rPr>
        <w:t>不少于</w:t>
      </w:r>
      <w:r>
        <w:rPr>
          <w:rFonts w:hint="eastAsia" w:ascii="宋体" w:hAnsi="宋体" w:eastAsia="宋体" w:cs="宋体"/>
          <w:sz w:val="24"/>
          <w:highlight w:val="none"/>
          <w:lang w:val="en-US" w:eastAsia="zh-CN"/>
        </w:rPr>
        <w:t>4000 条日志。</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、输液器：内置</w:t>
      </w:r>
      <w:r>
        <w:rPr>
          <w:rFonts w:hint="eastAsia" w:ascii="宋体" w:hAnsi="宋体" w:cs="宋体"/>
          <w:sz w:val="24"/>
          <w:highlight w:val="none"/>
          <w:lang w:val="en-US" w:eastAsia="zh-CN"/>
        </w:rPr>
        <w:t>临床常用输液器</w:t>
      </w:r>
      <w:r>
        <w:rPr>
          <w:rFonts w:hint="eastAsia" w:ascii="宋体" w:hAnsi="宋体" w:eastAsia="宋体" w:cs="宋体"/>
          <w:sz w:val="24"/>
          <w:highlight w:val="none"/>
          <w:lang w:val="en-US" w:eastAsia="zh-CN"/>
        </w:rPr>
        <w:t>规格，</w:t>
      </w:r>
      <w:r>
        <w:rPr>
          <w:rFonts w:hint="eastAsia" w:ascii="宋体" w:hAnsi="宋体" w:cs="宋体"/>
          <w:sz w:val="24"/>
          <w:highlight w:val="none"/>
          <w:lang w:val="en-US" w:eastAsia="zh-CN"/>
        </w:rPr>
        <w:t>并具备自行校准输液器品牌功能。</w:t>
      </w:r>
    </w:p>
    <w:p>
      <w:pPr>
        <w:spacing w:line="500" w:lineRule="exact"/>
        <w:rPr>
          <w:rFonts w:hint="default"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w:t>
      </w:r>
      <w:r>
        <w:rPr>
          <w:rFonts w:hint="eastAsia" w:ascii="宋体" w:hAnsi="宋体" w:cs="宋体"/>
          <w:b/>
          <w:bCs/>
          <w:sz w:val="24"/>
          <w:highlight w:val="none"/>
          <w:u w:val="none"/>
          <w:lang w:val="en-US" w:eastAsia="zh-CN"/>
        </w:rPr>
        <w:t>六</w:t>
      </w:r>
      <w:r>
        <w:rPr>
          <w:rFonts w:hint="eastAsia" w:ascii="宋体" w:hAnsi="宋体" w:eastAsia="宋体" w:cs="宋体"/>
          <w:b/>
          <w:bCs/>
          <w:sz w:val="24"/>
          <w:highlight w:val="none"/>
          <w:u w:val="none"/>
          <w:lang w:val="en-US" w:eastAsia="zh-CN"/>
        </w:rPr>
        <w:t>）转运手术床</w:t>
      </w:r>
    </w:p>
    <w:p>
      <w:pPr>
        <w:spacing w:line="500" w:lineRule="exact"/>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1、产品</w:t>
      </w:r>
      <w:r>
        <w:rPr>
          <w:rFonts w:hint="eastAsia" w:ascii="宋体" w:hAnsi="宋体" w:eastAsia="宋体" w:cs="宋体"/>
          <w:sz w:val="24"/>
          <w:highlight w:val="none"/>
          <w:lang w:val="en-US" w:eastAsia="zh-CN"/>
        </w:rPr>
        <w:t>尺寸：1900*700*800mm±50mm</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、车身:担架车车身</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优质不锈钢管加工而成，管壁厚度≥1mm。</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、轮子≥8寸，万向静音轮，带刹车。</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、担架车床面：不锈钢板材制成，板材厚度≥0.8mm。</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、两侧护栏上下翻动的关键部分弹簧：不锈钢专用弹簧。</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、紧急情况下，担架车面可与车体分离，护栏可折放。</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 xml:space="preserve">、床面上有对角输液架插孔。 </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、不锈钢升降输液架，ABS紧固系统，内镶铜丝套。</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配备</w:t>
      </w:r>
      <w:r>
        <w:rPr>
          <w:rFonts w:hint="eastAsia" w:ascii="宋体" w:hAnsi="宋体" w:eastAsia="宋体" w:cs="宋体"/>
          <w:sz w:val="24"/>
          <w:highlight w:val="none"/>
          <w:lang w:val="en-US" w:eastAsia="zh-CN"/>
        </w:rPr>
        <w:t>防水无缝PVC床垫（</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5cm厚度海绵）。</w:t>
      </w:r>
    </w:p>
    <w:p>
      <w:pPr>
        <w:numPr>
          <w:ilvl w:val="0"/>
          <w:numId w:val="4"/>
        </w:numPr>
        <w:spacing w:line="500" w:lineRule="exact"/>
        <w:rPr>
          <w:rFonts w:hint="eastAsia"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诊断床</w:t>
      </w:r>
      <w:r>
        <w:rPr>
          <w:rFonts w:hint="eastAsia" w:ascii="宋体" w:hAnsi="宋体" w:cs="宋体"/>
          <w:b/>
          <w:bCs/>
          <w:sz w:val="24"/>
          <w:highlight w:val="none"/>
          <w:u w:val="none"/>
          <w:lang w:val="en-US" w:eastAsia="zh-CN"/>
        </w:rPr>
        <w:t>(头部不带孔)</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w:t>
      </w:r>
      <w:r>
        <w:rPr>
          <w:rFonts w:hint="eastAsia" w:ascii="宋体" w:hAnsi="宋体" w:eastAsia="宋体" w:cs="宋体"/>
          <w:sz w:val="24"/>
          <w:highlight w:val="none"/>
        </w:rPr>
        <w:t>产品尺寸：</w:t>
      </w:r>
      <w:r>
        <w:rPr>
          <w:rFonts w:hint="eastAsia" w:ascii="宋体" w:hAnsi="宋体" w:eastAsia="宋体" w:cs="宋体"/>
          <w:sz w:val="24"/>
          <w:highlight w:val="none"/>
          <w:lang w:val="en-US" w:eastAsia="zh-CN"/>
        </w:rPr>
        <w:t>1800</w:t>
      </w:r>
      <w:r>
        <w:rPr>
          <w:rFonts w:hint="eastAsia" w:ascii="宋体" w:hAnsi="宋体" w:eastAsia="宋体" w:cs="宋体"/>
          <w:sz w:val="24"/>
          <w:highlight w:val="none"/>
        </w:rPr>
        <w:t>mm×</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0mm×</w:t>
      </w:r>
      <w:r>
        <w:rPr>
          <w:rFonts w:hint="eastAsia" w:ascii="宋体" w:hAnsi="宋体" w:eastAsia="宋体" w:cs="宋体"/>
          <w:sz w:val="24"/>
          <w:highlight w:val="none"/>
          <w:lang w:val="en-US" w:eastAsia="zh-CN"/>
        </w:rPr>
        <w:t>650</w:t>
      </w:r>
      <w:r>
        <w:rPr>
          <w:rFonts w:hint="eastAsia" w:ascii="宋体" w:hAnsi="宋体" w:eastAsia="宋体" w:cs="宋体"/>
          <w:sz w:val="24"/>
          <w:highlight w:val="none"/>
        </w:rPr>
        <w:t>mm</w:t>
      </w:r>
      <w:r>
        <w:rPr>
          <w:rFonts w:hint="eastAsia"/>
          <w:sz w:val="24"/>
          <w:szCs w:val="24"/>
          <w:highlight w:val="none"/>
        </w:rPr>
        <w:t>±50</w:t>
      </w:r>
      <w:r>
        <w:rPr>
          <w:rFonts w:hint="eastAsia" w:ascii="宋体" w:hAnsi="宋体" w:eastAsia="宋体" w:cs="宋体"/>
          <w:sz w:val="24"/>
          <w:highlight w:val="none"/>
          <w:lang w:val="en-US" w:eastAsia="zh-CN"/>
        </w:rPr>
        <w:t>mm</w:t>
      </w:r>
      <w:r>
        <w:rPr>
          <w:rFonts w:hint="eastAsia" w:ascii="宋体" w:hAnsi="宋体" w:cs="宋体"/>
          <w:sz w:val="24"/>
          <w:highlight w:val="none"/>
          <w:lang w:eastAsia="zh-CN"/>
        </w:rPr>
        <w:t>。</w:t>
      </w:r>
    </w:p>
    <w:p>
      <w:pPr>
        <w:spacing w:line="500" w:lineRule="exact"/>
        <w:ind w:firstLine="720" w:firstLineChars="300"/>
        <w:rPr>
          <w:rFonts w:hint="eastAsia" w:ascii="宋体" w:hAnsi="宋体" w:cs="宋体"/>
          <w:sz w:val="24"/>
          <w:highlight w:val="none"/>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、床体最大载重量≥2</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0kg</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床体：床框采用</w:t>
      </w:r>
      <w:r>
        <w:rPr>
          <w:rFonts w:hint="eastAsia" w:ascii="宋体" w:hAnsi="宋体" w:eastAsia="宋体" w:cs="宋体"/>
          <w:sz w:val="24"/>
          <w:highlight w:val="none"/>
          <w:lang w:eastAsia="zh-CN"/>
        </w:rPr>
        <w:t>不锈钢方</w:t>
      </w:r>
      <w:r>
        <w:rPr>
          <w:rFonts w:hint="eastAsia" w:ascii="宋体" w:hAnsi="宋体" w:eastAsia="宋体" w:cs="宋体"/>
          <w:sz w:val="24"/>
          <w:highlight w:val="none"/>
        </w:rPr>
        <w:t>管</w:t>
      </w:r>
      <w:r>
        <w:rPr>
          <w:rFonts w:hint="eastAsia" w:ascii="宋体" w:hAnsi="宋体" w:cs="宋体"/>
          <w:sz w:val="24"/>
          <w:highlight w:val="none"/>
          <w:lang w:eastAsia="zh-CN"/>
        </w:rPr>
        <w:t>，方管厚度≥</w:t>
      </w:r>
      <w:r>
        <w:rPr>
          <w:rFonts w:hint="eastAsia" w:ascii="宋体" w:hAnsi="宋体" w:eastAsia="宋体" w:cs="宋体"/>
          <w:sz w:val="24"/>
          <w:highlight w:val="none"/>
          <w:lang w:val="en-US" w:eastAsia="zh-CN"/>
        </w:rPr>
        <w:t>0.8</w:t>
      </w:r>
      <w:r>
        <w:rPr>
          <w:rFonts w:hint="eastAsia" w:ascii="宋体" w:hAnsi="宋体" w:eastAsia="宋体" w:cs="宋体"/>
          <w:sz w:val="24"/>
          <w:highlight w:val="none"/>
        </w:rPr>
        <w:t>mm。</w:t>
      </w:r>
    </w:p>
    <w:p>
      <w:pPr>
        <w:spacing w:line="50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4、</w:t>
      </w:r>
      <w:r>
        <w:rPr>
          <w:rFonts w:hint="eastAsia" w:ascii="宋体" w:hAnsi="宋体" w:eastAsia="宋体" w:cs="宋体"/>
          <w:sz w:val="24"/>
          <w:highlight w:val="none"/>
        </w:rPr>
        <w:t>床面</w:t>
      </w:r>
      <w:r>
        <w:rPr>
          <w:rFonts w:hint="eastAsia" w:ascii="宋体" w:hAnsi="宋体" w:eastAsia="宋体" w:cs="宋体"/>
          <w:sz w:val="24"/>
          <w:highlight w:val="none"/>
          <w:lang w:eastAsia="zh-CN"/>
        </w:rPr>
        <w:t>；</w:t>
      </w:r>
      <w:r>
        <w:rPr>
          <w:rFonts w:hint="eastAsia" w:ascii="宋体" w:hAnsi="宋体" w:cs="宋体"/>
          <w:sz w:val="24"/>
          <w:szCs w:val="24"/>
          <w:highlight w:val="none"/>
        </w:rPr>
        <w:t>实木板加高密珍珠棉，优质皮革</w:t>
      </w:r>
      <w:r>
        <w:rPr>
          <w:rFonts w:hint="eastAsia" w:ascii="宋体" w:hAnsi="宋体" w:cs="宋体"/>
          <w:sz w:val="24"/>
          <w:szCs w:val="24"/>
          <w:highlight w:val="none"/>
          <w:lang w:eastAsia="zh-CN"/>
        </w:rPr>
        <w:t>。</w:t>
      </w:r>
    </w:p>
    <w:p>
      <w:pPr>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床面连接件全部使用钢件，连接件厚度≥4mm。</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床脚：碳钢方管</w:t>
      </w:r>
      <w:r>
        <w:rPr>
          <w:rFonts w:hint="eastAsia" w:ascii="宋体" w:hAnsi="宋体" w:eastAsia="宋体" w:cs="宋体"/>
          <w:sz w:val="24"/>
          <w:highlight w:val="none"/>
          <w:lang w:eastAsia="zh-CN"/>
        </w:rPr>
        <w:t>，中间有加固连接杆，方管厚度≥</w:t>
      </w:r>
      <w:r>
        <w:rPr>
          <w:rFonts w:hint="eastAsia" w:ascii="宋体" w:hAnsi="宋体" w:eastAsia="宋体" w:cs="宋体"/>
          <w:sz w:val="24"/>
          <w:highlight w:val="none"/>
          <w:lang w:val="en-US" w:eastAsia="zh-CN"/>
        </w:rPr>
        <w:t>0.8</w:t>
      </w:r>
      <w:r>
        <w:rPr>
          <w:rFonts w:hint="eastAsia" w:ascii="宋体" w:hAnsi="宋体" w:eastAsia="宋体" w:cs="宋体"/>
          <w:sz w:val="24"/>
          <w:highlight w:val="none"/>
        </w:rPr>
        <w:t>mm</w:t>
      </w:r>
      <w:r>
        <w:rPr>
          <w:rFonts w:hint="eastAsia" w:ascii="宋体" w:hAnsi="宋体" w:eastAsia="宋体" w:cs="宋体"/>
          <w:sz w:val="24"/>
          <w:highlight w:val="none"/>
          <w:lang w:eastAsia="zh-CN"/>
        </w:rPr>
        <w:t>。</w:t>
      </w:r>
    </w:p>
    <w:p>
      <w:pPr>
        <w:spacing w:line="500" w:lineRule="exact"/>
        <w:ind w:firstLine="720" w:firstLineChars="3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7、头部不带孔</w:t>
      </w:r>
    </w:p>
    <w:p>
      <w:pPr>
        <w:numPr>
          <w:ilvl w:val="0"/>
          <w:numId w:val="0"/>
        </w:numPr>
        <w:spacing w:line="500" w:lineRule="exact"/>
        <w:rPr>
          <w:rFonts w:hint="eastAsia"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（八）诊断床(头部带孔)</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1、产品尺寸：1800mm×600mm×650mm±50mm。</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2、床体最大载重量≥200kg。</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3、床体：床框采用不锈钢方管，方管厚度≥0.8mm。</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4、床面；实木板加高密珍珠棉，优质皮革。</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5、床面连接件全部使用钢件，连接件厚度≥4mm。</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6、床脚：碳钢方管，中间有加固连接杆，方管厚度≥0.8mm。</w:t>
      </w:r>
    </w:p>
    <w:p>
      <w:pPr>
        <w:spacing w:line="500" w:lineRule="exact"/>
        <w:ind w:firstLine="720" w:firstLineChars="3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7、头部带孔</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（九）病历车</w:t>
      </w:r>
    </w:p>
    <w:p>
      <w:pPr>
        <w:spacing w:line="500" w:lineRule="exact"/>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规格：</w:t>
      </w:r>
      <w:r>
        <w:rPr>
          <w:rFonts w:hint="eastAsia" w:ascii="宋体" w:hAnsi="宋体" w:cs="宋体"/>
          <w:sz w:val="24"/>
          <w:highlight w:val="none"/>
          <w:lang w:val="en-US" w:eastAsia="zh-CN"/>
        </w:rPr>
        <w:t>不小于</w:t>
      </w:r>
      <w:r>
        <w:rPr>
          <w:rFonts w:hint="eastAsia" w:ascii="宋体" w:hAnsi="宋体" w:eastAsia="宋体" w:cs="宋体"/>
          <w:sz w:val="24"/>
          <w:highlight w:val="none"/>
          <w:lang w:val="en-US" w:eastAsia="zh-CN"/>
        </w:rPr>
        <w:t>50格</w:t>
      </w:r>
      <w:r>
        <w:rPr>
          <w:rFonts w:hint="eastAsia" w:ascii="宋体" w:hAnsi="宋体" w:cs="宋体"/>
          <w:sz w:val="24"/>
          <w:highlight w:val="none"/>
          <w:lang w:val="en-US" w:eastAsia="zh-CN"/>
        </w:rPr>
        <w:t>。</w:t>
      </w:r>
    </w:p>
    <w:p>
      <w:pPr>
        <w:spacing w:line="500" w:lineRule="exact"/>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材质：不锈钢</w:t>
      </w:r>
      <w:r>
        <w:rPr>
          <w:rFonts w:hint="eastAsia" w:ascii="宋体" w:hAnsi="宋体" w:cs="宋体"/>
          <w:sz w:val="24"/>
          <w:highlight w:val="none"/>
          <w:lang w:val="en-US" w:eastAsia="zh-CN"/>
        </w:rPr>
        <w:t>。</w:t>
      </w:r>
    </w:p>
    <w:p>
      <w:pPr>
        <w:spacing w:line="5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双列</w:t>
      </w:r>
      <w:r>
        <w:rPr>
          <w:rFonts w:hint="eastAsia" w:ascii="宋体" w:hAnsi="宋体" w:cs="宋体"/>
          <w:sz w:val="24"/>
          <w:highlight w:val="none"/>
          <w:lang w:val="en-US" w:eastAsia="zh-CN"/>
        </w:rPr>
        <w:t>病历车</w:t>
      </w:r>
      <w:r>
        <w:rPr>
          <w:rFonts w:hint="eastAsia" w:ascii="宋体" w:hAnsi="宋体" w:eastAsia="宋体" w:cs="宋体"/>
          <w:sz w:val="24"/>
          <w:highlight w:val="none"/>
          <w:lang w:val="en-US" w:eastAsia="zh-CN"/>
        </w:rPr>
        <w:t>，左右各有一个抽屉,每列病历位各配有锁，可同时</w:t>
      </w:r>
      <w:r>
        <w:rPr>
          <w:rFonts w:hint="eastAsia" w:ascii="宋体" w:hAnsi="宋体" w:cs="宋体"/>
          <w:sz w:val="24"/>
          <w:highlight w:val="none"/>
          <w:lang w:val="en-US" w:eastAsia="zh-CN"/>
        </w:rPr>
        <w:t>上锁</w:t>
      </w:r>
      <w:r>
        <w:rPr>
          <w:rFonts w:hint="eastAsia" w:ascii="宋体" w:hAnsi="宋体" w:eastAsia="宋体" w:cs="宋体"/>
          <w:sz w:val="24"/>
          <w:highlight w:val="none"/>
          <w:lang w:val="en-US" w:eastAsia="zh-CN"/>
        </w:rPr>
        <w:t>。</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（十）器械车</w:t>
      </w:r>
    </w:p>
    <w:p>
      <w:pPr>
        <w:spacing w:line="500" w:lineRule="exact"/>
        <w:ind w:firstLine="720" w:firstLineChars="300"/>
        <w:rPr>
          <w:rFonts w:hint="eastAsia"/>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highlight w:val="none"/>
        </w:rPr>
        <w:t xml:space="preserve">产品尺寸：650*450*900mm±50mm </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材质：框架采用优质板材，车面及护栏采用氩弧焊焊接成型。</w:t>
      </w:r>
    </w:p>
    <w:p>
      <w:pPr>
        <w:spacing w:line="500" w:lineRule="exact"/>
        <w:ind w:firstLine="720" w:firstLineChars="30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采用</w:t>
      </w:r>
      <w:r>
        <w:rPr>
          <w:rFonts w:hint="eastAsia" w:ascii="宋体" w:hAnsi="宋体" w:eastAsia="宋体" w:cs="宋体"/>
          <w:sz w:val="24"/>
          <w:highlight w:val="none"/>
          <w:lang w:eastAsia="zh-CN"/>
        </w:rPr>
        <w:t>静音</w:t>
      </w:r>
      <w:r>
        <w:rPr>
          <w:rFonts w:hint="eastAsia" w:ascii="宋体" w:hAnsi="宋体" w:eastAsia="宋体" w:cs="宋体"/>
          <w:sz w:val="24"/>
          <w:highlight w:val="none"/>
        </w:rPr>
        <w:t>万向轮，稳定、操作简单。</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（十一）抢救车</w:t>
      </w:r>
    </w:p>
    <w:p>
      <w:pPr>
        <w:numPr>
          <w:ilvl w:val="0"/>
          <w:numId w:val="5"/>
        </w:num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产品尺寸：650*500*900mm±50mm</w:t>
      </w:r>
      <w:r>
        <w:rPr>
          <w:rFonts w:hint="eastAsia" w:ascii="宋体" w:hAnsi="宋体" w:cs="宋体"/>
          <w:sz w:val="24"/>
          <w:highlight w:val="none"/>
          <w:lang w:val="en-US" w:eastAsia="zh-CN"/>
        </w:rPr>
        <w:t>。</w:t>
      </w:r>
    </w:p>
    <w:p>
      <w:pPr>
        <w:numPr>
          <w:ilvl w:val="0"/>
          <w:numId w:val="5"/>
        </w:num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车体主要由塑、铝、钢结构组成，侧面带手写板</w:t>
      </w:r>
      <w:r>
        <w:rPr>
          <w:rFonts w:hint="eastAsia" w:ascii="宋体" w:hAnsi="宋体" w:cs="宋体"/>
          <w:sz w:val="24"/>
          <w:highlight w:val="none"/>
          <w:lang w:val="en-US" w:eastAsia="zh-CN"/>
        </w:rPr>
        <w:t>。</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ABS注塑模具成型工艺台面</w:t>
      </w:r>
      <w:r>
        <w:rPr>
          <w:rFonts w:hint="eastAsia" w:ascii="宋体" w:hAnsi="宋体" w:cs="宋体"/>
          <w:sz w:val="24"/>
          <w:highlight w:val="none"/>
          <w:lang w:val="en-US" w:eastAsia="zh-CN"/>
        </w:rPr>
        <w:t>。</w:t>
      </w:r>
    </w:p>
    <w:p>
      <w:pPr>
        <w:spacing w:line="500" w:lineRule="exact"/>
        <w:ind w:firstLine="700" w:firstLineChars="29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配置：直型把手1个，侧挂盒1个，小垃圾桶1个，旋转托盘1个，伸缩输液架1个，心位复苏板，插座，氧气瓶架，带一次性锁；</w:t>
      </w:r>
    </w:p>
    <w:p>
      <w:pPr>
        <w:numPr>
          <w:ilvl w:val="0"/>
          <w:numId w:val="0"/>
        </w:numPr>
        <w:spacing w:line="500" w:lineRule="exact"/>
        <w:rPr>
          <w:rFonts w:hint="eastAsia" w:ascii="宋体" w:hAnsi="宋体" w:eastAsia="宋体" w:cs="宋体"/>
          <w:sz w:val="24"/>
          <w:highlight w:val="none"/>
          <w:lang w:val="en-US" w:eastAsia="zh-CN"/>
        </w:rPr>
      </w:pPr>
      <w:r>
        <w:rPr>
          <w:rFonts w:hint="eastAsia" w:ascii="宋体" w:hAnsi="宋体" w:cs="宋体"/>
          <w:b/>
          <w:bCs/>
          <w:sz w:val="24"/>
          <w:highlight w:val="none"/>
          <w:lang w:val="en-US" w:eastAsia="zh-CN"/>
        </w:rPr>
        <w:t>（十二）取药车</w:t>
      </w:r>
    </w:p>
    <w:p>
      <w:pPr>
        <w:numPr>
          <w:ilvl w:val="0"/>
          <w:numId w:val="6"/>
        </w:numPr>
        <w:spacing w:line="500" w:lineRule="exact"/>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产品尺寸：</w:t>
      </w:r>
      <w:bookmarkStart w:id="1" w:name="OLE_LINK19"/>
      <w:r>
        <w:rPr>
          <w:rFonts w:hint="eastAsia" w:ascii="宋体" w:hAnsi="宋体" w:eastAsia="宋体" w:cs="宋体"/>
          <w:sz w:val="24"/>
          <w:highlight w:val="none"/>
          <w:lang w:val="en-US" w:eastAsia="zh-CN"/>
        </w:rPr>
        <w:t>750*500*950mm</w:t>
      </w:r>
      <w:bookmarkStart w:id="2" w:name="OLE_LINK20"/>
      <w:r>
        <w:rPr>
          <w:rFonts w:hint="eastAsia" w:ascii="宋体" w:hAnsi="宋体" w:eastAsia="宋体" w:cs="宋体"/>
          <w:sz w:val="24"/>
          <w:highlight w:val="none"/>
          <w:lang w:val="en-US" w:eastAsia="zh-CN"/>
        </w:rPr>
        <w:t>±50mm</w:t>
      </w:r>
      <w:bookmarkEnd w:id="1"/>
      <w:bookmarkEnd w:id="2"/>
      <w:r>
        <w:rPr>
          <w:rFonts w:hint="eastAsia" w:ascii="宋体" w:hAnsi="宋体" w:cs="宋体"/>
          <w:sz w:val="24"/>
          <w:highlight w:val="none"/>
          <w:lang w:val="en-US" w:eastAsia="zh-CN"/>
        </w:rPr>
        <w:t>。</w:t>
      </w:r>
    </w:p>
    <w:p>
      <w:pPr>
        <w:numPr>
          <w:ilvl w:val="0"/>
          <w:numId w:val="6"/>
        </w:numPr>
        <w:spacing w:line="500" w:lineRule="exact"/>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五抽屉，车体主要由塑、铝、钢结构组成</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ABS注塑模具</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四柱承重</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侧挂盒1个，垃圾桶1个</w:t>
      </w:r>
      <w:r>
        <w:rPr>
          <w:rFonts w:hint="eastAsia" w:ascii="宋体" w:hAnsi="宋体" w:cs="宋体"/>
          <w:sz w:val="24"/>
          <w:highlight w:val="none"/>
          <w:lang w:val="en-US" w:eastAsia="zh-CN"/>
        </w:rPr>
        <w:t>、</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（十三）麻醉车</w:t>
      </w:r>
    </w:p>
    <w:p>
      <w:pPr>
        <w:numPr>
          <w:ilvl w:val="0"/>
          <w:numId w:val="7"/>
        </w:numPr>
        <w:spacing w:line="500" w:lineRule="exact"/>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产品尺寸：750*500*950mm±50mm</w:t>
      </w:r>
      <w:r>
        <w:rPr>
          <w:rFonts w:hint="eastAsia" w:ascii="宋体" w:hAnsi="宋体" w:cs="宋体"/>
          <w:sz w:val="24"/>
          <w:highlight w:val="none"/>
          <w:lang w:val="en-US" w:eastAsia="zh-CN"/>
        </w:rPr>
        <w:t>。</w:t>
      </w:r>
    </w:p>
    <w:p>
      <w:pPr>
        <w:numPr>
          <w:ilvl w:val="0"/>
          <w:numId w:val="7"/>
        </w:numPr>
        <w:spacing w:line="50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rPr>
        <w:t>主体材质：ABS工程塑料，抽屉采用全塑ABS材质模块化设计</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eastAsia="宋体" w:cs="宋体"/>
          <w:sz w:val="24"/>
          <w:highlight w:val="none"/>
        </w:rPr>
        <w:t>台面安装：不锈钢三面围栏</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eastAsia="宋体" w:cs="宋体"/>
          <w:sz w:val="24"/>
          <w:highlight w:val="none"/>
        </w:rPr>
        <w:t>车体：中控锁定装置</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eastAsia="宋体" w:cs="宋体"/>
          <w:sz w:val="24"/>
          <w:highlight w:val="none"/>
        </w:rPr>
        <w:t>两小抽，两中抽，一大抽，抽屉内置分割条</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eastAsia="宋体" w:cs="宋体"/>
          <w:sz w:val="24"/>
          <w:highlight w:val="none"/>
        </w:rPr>
        <w:t>车体台面护栏</w:t>
      </w:r>
      <w:r>
        <w:rPr>
          <w:rFonts w:hint="eastAsia" w:ascii="宋体" w:hAnsi="宋体" w:cs="宋体"/>
          <w:sz w:val="24"/>
          <w:highlight w:val="none"/>
          <w:lang w:eastAsia="zh-CN"/>
        </w:rPr>
        <w:t>配置≥</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个透明翻转麻醉盒</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eastAsia="宋体" w:cs="宋体"/>
          <w:sz w:val="24"/>
          <w:highlight w:val="none"/>
        </w:rPr>
        <w:t>脚轮：静音防缠绕</w:t>
      </w:r>
      <w:r>
        <w:rPr>
          <w:rFonts w:hint="eastAsia" w:ascii="宋体" w:hAnsi="宋体" w:cs="宋体"/>
          <w:sz w:val="24"/>
          <w:highlight w:val="none"/>
          <w:lang w:eastAsia="zh-CN"/>
        </w:rPr>
        <w:t>。</w:t>
      </w:r>
    </w:p>
    <w:p>
      <w:pPr>
        <w:spacing w:line="500" w:lineRule="exact"/>
        <w:ind w:firstLine="720" w:firstLineChars="300"/>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r>
        <w:rPr>
          <w:rFonts w:hint="eastAsia" w:ascii="宋体" w:hAnsi="宋体" w:cs="宋体"/>
          <w:sz w:val="24"/>
          <w:highlight w:val="none"/>
          <w:lang w:eastAsia="zh-CN"/>
        </w:rPr>
        <w:t>、其它配置</w:t>
      </w:r>
      <w:r>
        <w:rPr>
          <w:rFonts w:hint="eastAsia" w:ascii="宋体" w:hAnsi="宋体" w:eastAsia="宋体" w:cs="宋体"/>
          <w:sz w:val="24"/>
          <w:highlight w:val="none"/>
        </w:rPr>
        <w:t>：侧挂盒1个，垃圾桶2个，麻醉盒1套</w:t>
      </w:r>
      <w:r>
        <w:rPr>
          <w:rFonts w:hint="eastAsia" w:ascii="宋体" w:hAnsi="宋体" w:cs="宋体"/>
          <w:sz w:val="24"/>
          <w:highlight w:val="none"/>
          <w:lang w:eastAsia="zh-CN"/>
        </w:rPr>
        <w:t>。</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（十四）小氧气筒</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容积</w:t>
      </w:r>
      <w:r>
        <w:rPr>
          <w:rFonts w:hint="eastAsia" w:ascii="宋体" w:hAnsi="宋体" w:cs="宋体"/>
          <w:sz w:val="24"/>
          <w:highlight w:val="none"/>
          <w:lang w:val="en-US" w:eastAsia="zh-CN"/>
        </w:rPr>
        <w:t>:</w:t>
      </w:r>
      <w:r>
        <w:rPr>
          <w:rFonts w:hint="eastAsia" w:ascii="宋体" w:hAnsi="宋体" w:eastAsia="宋体" w:cs="宋体"/>
          <w:sz w:val="24"/>
          <w:highlight w:val="none"/>
        </w:rPr>
        <w:t>2</w:t>
      </w:r>
      <w:r>
        <w:rPr>
          <w:rFonts w:hint="eastAsia" w:ascii="宋体" w:hAnsi="宋体" w:cs="宋体"/>
          <w:sz w:val="24"/>
          <w:highlight w:val="none"/>
          <w:lang w:val="en-US" w:eastAsia="zh-CN"/>
        </w:rPr>
        <w:t>L</w:t>
      </w:r>
      <w:r>
        <w:rPr>
          <w:rFonts w:hint="eastAsia" w:ascii="宋体" w:hAnsi="宋体" w:cs="宋体"/>
          <w:sz w:val="24"/>
          <w:highlight w:val="none"/>
          <w:lang w:eastAsia="zh-CN"/>
        </w:rPr>
        <w:t>。</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w:t>
      </w:r>
      <w:r>
        <w:rPr>
          <w:rFonts w:hint="eastAsia" w:ascii="宋体" w:hAnsi="宋体" w:eastAsia="宋体" w:cs="宋体"/>
          <w:sz w:val="24"/>
          <w:highlight w:val="none"/>
        </w:rPr>
        <w:t>直径</w:t>
      </w:r>
      <w:r>
        <w:rPr>
          <w:rFonts w:hint="eastAsia" w:ascii="宋体" w:hAnsi="宋体" w:cs="宋体"/>
          <w:sz w:val="24"/>
          <w:highlight w:val="none"/>
          <w:lang w:val="en-US" w:eastAsia="zh-CN"/>
        </w:rPr>
        <w:t>:</w:t>
      </w:r>
      <w:r>
        <w:rPr>
          <w:rFonts w:hint="eastAsia" w:ascii="宋体" w:hAnsi="宋体" w:eastAsia="宋体" w:cs="宋体"/>
          <w:sz w:val="24"/>
          <w:highlight w:val="none"/>
        </w:rPr>
        <w:t>110㎜</w:t>
      </w:r>
      <w:bookmarkStart w:id="3" w:name="OLE_LINK10"/>
      <w:r>
        <w:rPr>
          <w:rFonts w:hint="eastAsia" w:ascii="宋体" w:hAnsi="宋体" w:eastAsia="宋体" w:cs="宋体"/>
          <w:sz w:val="24"/>
          <w:highlight w:val="none"/>
        </w:rPr>
        <w:t>±10</w:t>
      </w:r>
      <w:bookmarkEnd w:id="3"/>
      <w:r>
        <w:rPr>
          <w:rFonts w:hint="eastAsia" w:ascii="宋体" w:hAnsi="宋体" w:cs="宋体"/>
          <w:sz w:val="24"/>
          <w:highlight w:val="none"/>
          <w:lang w:val="en-US" w:eastAsia="zh-CN"/>
        </w:rPr>
        <w:t>mm</w:t>
      </w:r>
      <w:r>
        <w:rPr>
          <w:rFonts w:hint="eastAsia" w:ascii="宋体" w:hAnsi="宋体" w:cs="宋体"/>
          <w:sz w:val="24"/>
          <w:highlight w:val="none"/>
          <w:lang w:eastAsia="zh-CN"/>
        </w:rPr>
        <w:t>。</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eastAsia="zh-CN"/>
        </w:rPr>
        <w:t>、</w:t>
      </w:r>
      <w:r>
        <w:rPr>
          <w:rFonts w:hint="eastAsia" w:ascii="宋体" w:hAnsi="宋体" w:eastAsia="宋体" w:cs="宋体"/>
          <w:sz w:val="24"/>
          <w:highlight w:val="none"/>
        </w:rPr>
        <w:t>瓶体高度310㎜</w:t>
      </w:r>
      <w:bookmarkStart w:id="4" w:name="OLE_LINK2"/>
      <w:r>
        <w:rPr>
          <w:rFonts w:hint="eastAsia" w:ascii="宋体" w:hAnsi="宋体" w:eastAsia="宋体" w:cs="宋体"/>
          <w:sz w:val="24"/>
          <w:highlight w:val="none"/>
        </w:rPr>
        <w:t>±10</w:t>
      </w:r>
      <w:bookmarkEnd w:id="4"/>
      <w:r>
        <w:rPr>
          <w:rFonts w:hint="eastAsia" w:ascii="宋体" w:hAnsi="宋体" w:cs="宋体"/>
          <w:sz w:val="24"/>
          <w:highlight w:val="none"/>
          <w:lang w:val="en-US" w:eastAsia="zh-CN"/>
        </w:rPr>
        <w:t>mm</w:t>
      </w:r>
      <w:r>
        <w:rPr>
          <w:rFonts w:hint="eastAsia" w:ascii="宋体" w:hAnsi="宋体" w:eastAsia="宋体" w:cs="宋体"/>
          <w:sz w:val="24"/>
          <w:highlight w:val="none"/>
        </w:rPr>
        <w:t>。</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（十五）治疗盘</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材质：不锈钢</w:t>
      </w:r>
      <w:r>
        <w:rPr>
          <w:rFonts w:hint="eastAsia" w:ascii="宋体" w:hAnsi="宋体" w:cs="宋体"/>
          <w:sz w:val="24"/>
          <w:highlight w:val="none"/>
          <w:lang w:eastAsia="zh-CN"/>
        </w:rPr>
        <w:t>。</w:t>
      </w:r>
    </w:p>
    <w:p>
      <w:pPr>
        <w:spacing w:line="500" w:lineRule="exact"/>
        <w:ind w:firstLine="427" w:firstLineChars="178"/>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w:t>
      </w:r>
      <w:r>
        <w:rPr>
          <w:rFonts w:hint="eastAsia" w:ascii="宋体" w:hAnsi="宋体" w:eastAsia="宋体" w:cs="宋体"/>
          <w:sz w:val="24"/>
          <w:highlight w:val="none"/>
        </w:rPr>
        <w:t>尺寸：长300mm±10</w:t>
      </w:r>
      <w:r>
        <w:rPr>
          <w:rFonts w:hint="eastAsia" w:ascii="宋体" w:hAnsi="宋体" w:cs="宋体"/>
          <w:sz w:val="24"/>
          <w:highlight w:val="none"/>
          <w:lang w:val="en-US" w:eastAsia="zh-CN"/>
        </w:rPr>
        <w:t>mm</w:t>
      </w:r>
      <w:r>
        <w:rPr>
          <w:rFonts w:hint="eastAsia" w:ascii="宋体" w:hAnsi="宋体" w:eastAsia="宋体" w:cs="宋体"/>
          <w:sz w:val="24"/>
          <w:highlight w:val="none"/>
        </w:rPr>
        <w:t>、宽250mm</w:t>
      </w:r>
      <w:bookmarkStart w:id="5" w:name="OLE_LINK3"/>
      <w:r>
        <w:rPr>
          <w:rFonts w:hint="eastAsia" w:ascii="宋体" w:hAnsi="宋体" w:eastAsia="宋体" w:cs="宋体"/>
          <w:sz w:val="24"/>
          <w:highlight w:val="none"/>
        </w:rPr>
        <w:t>±10</w:t>
      </w:r>
      <w:bookmarkEnd w:id="5"/>
      <w:r>
        <w:rPr>
          <w:rFonts w:hint="eastAsia" w:ascii="宋体" w:hAnsi="宋体" w:cs="宋体"/>
          <w:sz w:val="24"/>
          <w:highlight w:val="none"/>
          <w:lang w:val="en-US" w:eastAsia="zh-CN"/>
        </w:rPr>
        <w:t>mm</w:t>
      </w:r>
      <w:r>
        <w:rPr>
          <w:rFonts w:hint="eastAsia" w:ascii="宋体" w:hAnsi="宋体" w:eastAsia="宋体" w:cs="宋体"/>
          <w:sz w:val="24"/>
          <w:highlight w:val="none"/>
        </w:rPr>
        <w:t>、高30±10</w:t>
      </w:r>
      <w:r>
        <w:rPr>
          <w:rFonts w:hint="eastAsia" w:ascii="宋体" w:hAnsi="宋体" w:cs="宋体"/>
          <w:sz w:val="24"/>
          <w:highlight w:val="none"/>
          <w:lang w:val="en-US" w:eastAsia="zh-CN"/>
        </w:rPr>
        <w:t>mm</w:t>
      </w:r>
      <w:r>
        <w:rPr>
          <w:rFonts w:hint="eastAsia" w:ascii="宋体" w:hAnsi="宋体" w:eastAsia="宋体" w:cs="宋体"/>
          <w:sz w:val="24"/>
          <w:highlight w:val="none"/>
        </w:rPr>
        <w:t>，四孔</w:t>
      </w:r>
      <w:r>
        <w:rPr>
          <w:rFonts w:hint="eastAsia" w:ascii="宋体" w:hAnsi="宋体" w:cs="宋体"/>
          <w:sz w:val="24"/>
          <w:highlight w:val="none"/>
          <w:lang w:eastAsia="zh-CN"/>
        </w:rPr>
        <w:t>。</w:t>
      </w:r>
    </w:p>
    <w:p>
      <w:pPr>
        <w:numPr>
          <w:ilvl w:val="0"/>
          <w:numId w:val="0"/>
        </w:numPr>
        <w:spacing w:line="50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（十六）轮椅</w:t>
      </w:r>
    </w:p>
    <w:p>
      <w:pPr>
        <w:spacing w:line="500" w:lineRule="exact"/>
        <w:ind w:firstLine="427" w:firstLineChars="178"/>
        <w:rPr>
          <w:rFonts w:hint="eastAsia" w:ascii="宋体" w:hAnsi="宋体" w:cs="宋体"/>
          <w:sz w:val="24"/>
          <w:highlight w:val="none"/>
          <w:lang w:eastAsia="zh-CN"/>
        </w:rPr>
      </w:pPr>
      <w:r>
        <w:rPr>
          <w:rFonts w:hint="eastAsia" w:ascii="宋体" w:hAnsi="宋体" w:cs="宋体"/>
          <w:sz w:val="24"/>
          <w:highlight w:val="none"/>
          <w:lang w:eastAsia="zh-CN"/>
        </w:rPr>
        <w:t>1、车身材质：加厚管材，表面喷涂或电镀。</w:t>
      </w:r>
    </w:p>
    <w:p>
      <w:pPr>
        <w:spacing w:line="500" w:lineRule="exact"/>
        <w:ind w:firstLine="427" w:firstLineChars="178"/>
        <w:rPr>
          <w:rFonts w:hint="eastAsia" w:ascii="宋体" w:hAnsi="宋体" w:cs="宋体"/>
          <w:sz w:val="24"/>
          <w:highlight w:val="none"/>
          <w:lang w:eastAsia="zh-CN"/>
        </w:rPr>
      </w:pPr>
      <w:r>
        <w:rPr>
          <w:rFonts w:hint="eastAsia" w:ascii="宋体" w:hAnsi="宋体" w:cs="宋体"/>
          <w:sz w:val="24"/>
          <w:highlight w:val="none"/>
          <w:lang w:eastAsia="zh-CN"/>
        </w:rPr>
        <w:t>2、座垫材质：透气耐磨牛津布或加厚皮革。</w:t>
      </w:r>
    </w:p>
    <w:p>
      <w:pPr>
        <w:spacing w:line="500" w:lineRule="exact"/>
        <w:ind w:firstLine="427" w:firstLineChars="178"/>
        <w:rPr>
          <w:rFonts w:hint="eastAsia" w:ascii="宋体" w:hAnsi="宋体" w:cs="宋体"/>
          <w:sz w:val="24"/>
          <w:highlight w:val="none"/>
          <w:lang w:eastAsia="zh-CN"/>
        </w:rPr>
      </w:pPr>
      <w:r>
        <w:rPr>
          <w:rFonts w:hint="eastAsia" w:ascii="宋体" w:hAnsi="宋体" w:cs="宋体"/>
          <w:sz w:val="24"/>
          <w:highlight w:val="none"/>
          <w:lang w:eastAsia="zh-CN"/>
        </w:rPr>
        <w:t>3、轮胎配置：360°可旋转实心前轮，优质充气后轮或实心后轮。</w:t>
      </w:r>
    </w:p>
    <w:p>
      <w:pPr>
        <w:spacing w:line="500" w:lineRule="exact"/>
        <w:ind w:firstLine="427" w:firstLineChars="178"/>
        <w:rPr>
          <w:rFonts w:hint="eastAsia" w:ascii="宋体" w:hAnsi="宋体" w:cs="宋体"/>
          <w:color w:val="auto"/>
          <w:sz w:val="24"/>
          <w:highlight w:val="none"/>
          <w:lang w:eastAsia="zh-CN"/>
        </w:rPr>
      </w:pPr>
      <w:r>
        <w:rPr>
          <w:rFonts w:hint="eastAsia" w:ascii="宋体" w:hAnsi="宋体" w:cs="宋体"/>
          <w:sz w:val="24"/>
          <w:highlight w:val="none"/>
          <w:lang w:eastAsia="zh-CN"/>
        </w:rPr>
        <w:t>4、主要功能：可抽拉式便盆；</w:t>
      </w:r>
      <w:r>
        <w:rPr>
          <w:rFonts w:hint="eastAsia" w:ascii="宋体" w:hAnsi="宋体" w:cs="宋体"/>
          <w:color w:val="auto"/>
          <w:sz w:val="24"/>
          <w:highlight w:val="none"/>
          <w:lang w:eastAsia="zh-CN"/>
        </w:rPr>
        <w:t>防滑手推圈；承重≥</w:t>
      </w:r>
      <w:r>
        <w:rPr>
          <w:rFonts w:hint="eastAsia" w:ascii="宋体" w:hAnsi="宋体" w:cs="宋体"/>
          <w:color w:val="auto"/>
          <w:sz w:val="24"/>
          <w:highlight w:val="none"/>
          <w:lang w:val="en-US" w:eastAsia="zh-CN"/>
        </w:rPr>
        <w:t>150kg</w:t>
      </w:r>
      <w:r>
        <w:rPr>
          <w:rFonts w:hint="eastAsia" w:ascii="宋体" w:hAnsi="宋体" w:cs="宋体"/>
          <w:color w:val="auto"/>
          <w:sz w:val="24"/>
          <w:highlight w:val="none"/>
          <w:lang w:eastAsia="zh-CN"/>
        </w:rPr>
        <w:t>。</w:t>
      </w:r>
    </w:p>
    <w:p>
      <w:pPr>
        <w:numPr>
          <w:ilvl w:val="0"/>
          <w:numId w:val="0"/>
        </w:numPr>
        <w:spacing w:line="50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（十七）红外线治疗仪</w:t>
      </w:r>
    </w:p>
    <w:p>
      <w:pPr>
        <w:numPr>
          <w:ilvl w:val="0"/>
          <w:numId w:val="8"/>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波谱范围：2.0μm～25.0μm</w:t>
      </w:r>
      <w:r>
        <w:rPr>
          <w:rFonts w:hint="eastAsia" w:ascii="宋体" w:hAnsi="宋体" w:cs="宋体"/>
          <w:sz w:val="24"/>
          <w:highlight w:val="none"/>
          <w:lang w:eastAsia="zh-CN"/>
        </w:rPr>
        <w:t>。</w:t>
      </w:r>
    </w:p>
    <w:p>
      <w:pPr>
        <w:numPr>
          <w:ilvl w:val="0"/>
          <w:numId w:val="8"/>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治疗板面温度：320℃±10%</w:t>
      </w:r>
      <w:r>
        <w:rPr>
          <w:rFonts w:hint="eastAsia" w:ascii="宋体" w:hAnsi="宋体" w:cs="宋体"/>
          <w:sz w:val="24"/>
          <w:highlight w:val="none"/>
          <w:lang w:eastAsia="zh-CN"/>
        </w:rPr>
        <w:t>。</w:t>
      </w:r>
    </w:p>
    <w:p>
      <w:pPr>
        <w:numPr>
          <w:ilvl w:val="0"/>
          <w:numId w:val="8"/>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输入功率：单头 250VA，双头500VA</w:t>
      </w:r>
      <w:r>
        <w:rPr>
          <w:rFonts w:hint="eastAsia" w:ascii="宋体" w:hAnsi="宋体" w:cs="宋体"/>
          <w:sz w:val="24"/>
          <w:highlight w:val="none"/>
          <w:lang w:eastAsia="zh-CN"/>
        </w:rPr>
        <w:t>。</w:t>
      </w:r>
    </w:p>
    <w:p>
      <w:pPr>
        <w:numPr>
          <w:ilvl w:val="0"/>
          <w:numId w:val="8"/>
        </w:numPr>
        <w:spacing w:line="500" w:lineRule="exact"/>
        <w:ind w:firstLine="427" w:firstLineChars="178"/>
        <w:rPr>
          <w:rFonts w:hint="eastAsia" w:ascii="宋体" w:hAnsi="宋体" w:eastAsia="宋体" w:cs="宋体"/>
          <w:sz w:val="24"/>
          <w:highlight w:val="none"/>
        </w:rPr>
      </w:pPr>
      <w:r>
        <w:rPr>
          <w:rFonts w:hint="eastAsia" w:ascii="宋体" w:hAnsi="宋体" w:cs="宋体"/>
          <w:sz w:val="24"/>
          <w:highlight w:val="none"/>
          <w:lang w:val="en-US" w:eastAsia="zh-CN"/>
        </w:rPr>
        <w:t>具有定时功能，</w:t>
      </w:r>
      <w:r>
        <w:rPr>
          <w:rFonts w:hint="eastAsia" w:ascii="宋体" w:hAnsi="宋体" w:eastAsia="宋体" w:cs="宋体"/>
          <w:sz w:val="24"/>
          <w:highlight w:val="none"/>
        </w:rPr>
        <w:t>定时器范围：机械定时0～60min连续可调;数显定时0~95min</w:t>
      </w:r>
      <w:r>
        <w:rPr>
          <w:rFonts w:hint="eastAsia" w:ascii="宋体" w:hAnsi="宋体" w:cs="宋体"/>
          <w:sz w:val="24"/>
          <w:highlight w:val="none"/>
          <w:lang w:eastAsia="zh-CN"/>
        </w:rPr>
        <w:t>，</w:t>
      </w:r>
      <w:r>
        <w:rPr>
          <w:rFonts w:hint="eastAsia" w:ascii="宋体" w:hAnsi="宋体" w:eastAsia="宋体" w:cs="宋体"/>
          <w:sz w:val="24"/>
          <w:highlight w:val="none"/>
        </w:rPr>
        <w:t>每5min一档</w:t>
      </w:r>
      <w:r>
        <w:rPr>
          <w:rFonts w:hint="eastAsia" w:ascii="宋体" w:hAnsi="宋体" w:cs="宋体"/>
          <w:sz w:val="24"/>
          <w:highlight w:val="none"/>
          <w:lang w:eastAsia="zh-CN"/>
        </w:rPr>
        <w:t>。</w:t>
      </w:r>
    </w:p>
    <w:p>
      <w:pPr>
        <w:numPr>
          <w:ilvl w:val="0"/>
          <w:numId w:val="8"/>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加热器工作寿命：≥2000小时（h）</w:t>
      </w:r>
      <w:r>
        <w:rPr>
          <w:rFonts w:hint="eastAsia" w:ascii="宋体" w:hAnsi="宋体" w:cs="宋体"/>
          <w:sz w:val="24"/>
          <w:highlight w:val="none"/>
          <w:lang w:eastAsia="zh-CN"/>
        </w:rPr>
        <w:t>。</w:t>
      </w:r>
    </w:p>
    <w:p>
      <w:pPr>
        <w:numPr>
          <w:ilvl w:val="0"/>
          <w:numId w:val="0"/>
        </w:num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发热模式：</w:t>
      </w:r>
      <w:r>
        <w:rPr>
          <w:rFonts w:hint="eastAsia" w:ascii="宋体" w:hAnsi="宋体" w:cs="宋体"/>
          <w:sz w:val="24"/>
          <w:highlight w:val="none"/>
          <w:lang w:eastAsia="zh-CN"/>
        </w:rPr>
        <w:t>包括但不限于</w:t>
      </w:r>
      <w:r>
        <w:rPr>
          <w:rFonts w:hint="eastAsia" w:ascii="宋体" w:hAnsi="宋体" w:eastAsia="宋体" w:cs="宋体"/>
          <w:sz w:val="24"/>
          <w:highlight w:val="none"/>
        </w:rPr>
        <w:t>直热式</w:t>
      </w:r>
      <w:r>
        <w:rPr>
          <w:rFonts w:hint="eastAsia" w:ascii="宋体" w:hAnsi="宋体" w:cs="宋体"/>
          <w:sz w:val="24"/>
          <w:highlight w:val="none"/>
          <w:lang w:eastAsia="zh-CN"/>
        </w:rPr>
        <w:t>。</w:t>
      </w:r>
    </w:p>
    <w:p>
      <w:pPr>
        <w:numPr>
          <w:ilvl w:val="0"/>
          <w:numId w:val="0"/>
        </w:numPr>
        <w:spacing w:line="50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（十八）蛇皮灯</w:t>
      </w:r>
    </w:p>
    <w:p>
      <w:pPr>
        <w:spacing w:line="500" w:lineRule="exact"/>
        <w:ind w:firstLine="220" w:firstLineChars="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材质：不锈钢材质</w:t>
      </w:r>
      <w:r>
        <w:rPr>
          <w:rFonts w:hint="eastAsia" w:ascii="宋体" w:hAnsi="宋体" w:cs="宋体"/>
          <w:sz w:val="24"/>
          <w:highlight w:val="none"/>
          <w:lang w:val="en-US" w:eastAsia="zh-CN"/>
        </w:rPr>
        <w:t>。</w:t>
      </w:r>
    </w:p>
    <w:p>
      <w:pPr>
        <w:spacing w:line="500" w:lineRule="exact"/>
        <w:ind w:firstLine="220" w:firstLineChars="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输入功率：≤200VA</w:t>
      </w:r>
      <w:r>
        <w:rPr>
          <w:rFonts w:hint="eastAsia" w:ascii="宋体" w:hAnsi="宋体" w:cs="宋体"/>
          <w:sz w:val="24"/>
          <w:highlight w:val="none"/>
          <w:lang w:val="en-US" w:eastAsia="zh-CN"/>
        </w:rPr>
        <w:t>。</w:t>
      </w:r>
    </w:p>
    <w:p>
      <w:pPr>
        <w:spacing w:line="500" w:lineRule="exact"/>
        <w:ind w:firstLine="220" w:firstLineChars="9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升降范围130cm-150cm±10cm</w:t>
      </w:r>
      <w:r>
        <w:rPr>
          <w:rFonts w:hint="eastAsia" w:ascii="宋体" w:hAnsi="宋体" w:cs="宋体"/>
          <w:sz w:val="24"/>
          <w:highlight w:val="none"/>
          <w:lang w:val="en-US" w:eastAsia="zh-CN"/>
        </w:rPr>
        <w:t>。</w:t>
      </w:r>
    </w:p>
    <w:p>
      <w:pPr>
        <w:numPr>
          <w:ilvl w:val="0"/>
          <w:numId w:val="0"/>
        </w:numPr>
        <w:spacing w:line="50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（十九）紫外线灯车</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型式：移动式</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eastAsia="宋体" w:cs="宋体"/>
          <w:sz w:val="24"/>
          <w:highlight w:val="none"/>
        </w:rPr>
        <w:t>紫外线灯管数量：2支</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eastAsia="宋体" w:cs="宋体"/>
          <w:sz w:val="24"/>
          <w:highlight w:val="none"/>
        </w:rPr>
        <w:t>灯臂调节角度：0-180°</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eastAsia="宋体" w:cs="宋体"/>
          <w:sz w:val="24"/>
          <w:highlight w:val="none"/>
        </w:rPr>
        <w:t>紫外线辐射波长：253.7nm</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eastAsia="宋体" w:cs="宋体"/>
          <w:sz w:val="24"/>
          <w:highlight w:val="none"/>
        </w:rPr>
        <w:t>紫外线灯管平均寿命≥5000h</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eastAsia="宋体" w:cs="宋体"/>
          <w:sz w:val="24"/>
          <w:highlight w:val="none"/>
        </w:rPr>
        <w:t>适用面积：≤20</w:t>
      </w:r>
      <w:r>
        <w:rPr>
          <w:rFonts w:hint="eastAsia" w:ascii="宋体" w:hAnsi="宋体" w:cs="宋体"/>
          <w:sz w:val="24"/>
          <w:highlight w:val="none"/>
          <w:lang w:val="en-US" w:eastAsia="zh-CN"/>
        </w:rPr>
        <w:t>㎡。</w:t>
      </w:r>
    </w:p>
    <w:p>
      <w:pPr>
        <w:spacing w:line="500" w:lineRule="exact"/>
        <w:ind w:firstLine="480" w:firstLineChars="200"/>
        <w:rPr>
          <w:rFonts w:hint="eastAsia" w:eastAsia="宋体"/>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eastAsia="宋体" w:cs="宋体"/>
          <w:sz w:val="24"/>
          <w:highlight w:val="none"/>
        </w:rPr>
        <w:t>消毒定时范围：0-120分钟，其最大定时误差&lt;15min</w:t>
      </w:r>
      <w:r>
        <w:rPr>
          <w:rFonts w:hint="eastAsia" w:ascii="宋体" w:hAnsi="宋体" w:cs="宋体"/>
          <w:sz w:val="24"/>
          <w:highlight w:val="none"/>
          <w:lang w:eastAsia="zh-CN"/>
        </w:rPr>
        <w:t>。</w:t>
      </w:r>
    </w:p>
    <w:p>
      <w:pPr>
        <w:numPr>
          <w:ilvl w:val="0"/>
          <w:numId w:val="0"/>
        </w:numPr>
        <w:spacing w:line="50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（二十）体重秤</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度盘指针式体重秤</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w:t>
      </w:r>
      <w:r>
        <w:rPr>
          <w:rFonts w:hint="eastAsia" w:ascii="宋体" w:hAnsi="宋体" w:eastAsia="宋体" w:cs="宋体"/>
          <w:sz w:val="24"/>
          <w:highlight w:val="none"/>
        </w:rPr>
        <w:t>承台面积 :37cm</w:t>
      </w:r>
      <w:r>
        <w:rPr>
          <w:rFonts w:hint="eastAsia" w:ascii="宋体" w:hAnsi="宋体" w:cs="宋体"/>
          <w:sz w:val="24"/>
          <w:highlight w:val="none"/>
          <w:lang w:val="en-US" w:eastAsia="zh-CN"/>
        </w:rPr>
        <w:t>*</w:t>
      </w:r>
      <w:r>
        <w:rPr>
          <w:rFonts w:hint="eastAsia" w:ascii="宋体" w:hAnsi="宋体" w:eastAsia="宋体" w:cs="宋体"/>
          <w:sz w:val="24"/>
          <w:highlight w:val="none"/>
        </w:rPr>
        <w:t>27cm</w:t>
      </w:r>
      <w:bookmarkStart w:id="6" w:name="OLE_LINK7"/>
      <w:r>
        <w:rPr>
          <w:rFonts w:hint="eastAsia" w:ascii="宋体" w:hAnsi="宋体" w:eastAsia="宋体" w:cs="宋体"/>
          <w:sz w:val="24"/>
          <w:highlight w:val="none"/>
        </w:rPr>
        <w:t>±5cm</w:t>
      </w:r>
      <w:bookmarkEnd w:id="6"/>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w:t>
      </w:r>
      <w:r>
        <w:rPr>
          <w:rFonts w:hint="eastAsia" w:ascii="宋体" w:hAnsi="宋体" w:cs="宋体"/>
          <w:sz w:val="24"/>
          <w:highlight w:val="none"/>
          <w:lang w:eastAsia="zh-CN"/>
        </w:rPr>
        <w:t>、</w:t>
      </w:r>
      <w:r>
        <w:rPr>
          <w:rFonts w:hint="eastAsia" w:ascii="宋体" w:hAnsi="宋体" w:eastAsia="宋体" w:cs="宋体"/>
          <w:sz w:val="24"/>
          <w:highlight w:val="none"/>
        </w:rPr>
        <w:t>最小分度值:500g</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w:t>
      </w:r>
      <w:r>
        <w:rPr>
          <w:rFonts w:hint="eastAsia" w:ascii="宋体" w:hAnsi="宋体" w:cs="宋体"/>
          <w:sz w:val="24"/>
          <w:highlight w:val="none"/>
          <w:lang w:eastAsia="zh-CN"/>
        </w:rPr>
        <w:t>、</w:t>
      </w:r>
      <w:r>
        <w:rPr>
          <w:rFonts w:hint="eastAsia" w:ascii="宋体" w:hAnsi="宋体" w:eastAsia="宋体" w:cs="宋体"/>
          <w:sz w:val="24"/>
          <w:highlight w:val="none"/>
        </w:rPr>
        <w:t>量尺范围:70~190cm ，量尺分度值:5mm</w:t>
      </w:r>
      <w:r>
        <w:rPr>
          <w:rFonts w:hint="eastAsia" w:ascii="宋体" w:hAnsi="宋体" w:cs="宋体"/>
          <w:sz w:val="24"/>
          <w:highlight w:val="none"/>
          <w:lang w:eastAsia="zh-CN"/>
        </w:rPr>
        <w:t>。</w:t>
      </w:r>
    </w:p>
    <w:p>
      <w:pPr>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w:t>
      </w:r>
      <w:r>
        <w:rPr>
          <w:rFonts w:hint="eastAsia" w:ascii="宋体" w:hAnsi="宋体" w:cs="宋体"/>
          <w:sz w:val="24"/>
          <w:highlight w:val="none"/>
          <w:lang w:eastAsia="zh-CN"/>
        </w:rPr>
        <w:t>、</w:t>
      </w:r>
      <w:r>
        <w:rPr>
          <w:rFonts w:hint="eastAsia" w:ascii="宋体" w:hAnsi="宋体" w:eastAsia="宋体" w:cs="宋体"/>
          <w:sz w:val="24"/>
          <w:highlight w:val="none"/>
        </w:rPr>
        <w:t>最大称重：≥120 kg</w:t>
      </w:r>
      <w:r>
        <w:rPr>
          <w:rFonts w:hint="eastAsia" w:ascii="宋体" w:hAnsi="宋体" w:cs="宋体"/>
          <w:sz w:val="24"/>
          <w:highlight w:val="none"/>
          <w:lang w:eastAsia="zh-CN"/>
        </w:rPr>
        <w:t>。</w:t>
      </w:r>
    </w:p>
    <w:p>
      <w:pPr>
        <w:adjustRightInd w:val="0"/>
        <w:spacing w:line="360" w:lineRule="auto"/>
        <w:rPr>
          <w:rFonts w:hint="eastAsia" w:ascii="宋体" w:hAnsi="宋体" w:cs="Arial"/>
          <w:b w:val="0"/>
          <w:bCs/>
          <w:sz w:val="24"/>
          <w:highlight w:val="none"/>
          <w:lang w:val="en-US" w:eastAsia="zh-CN"/>
        </w:rPr>
      </w:pPr>
    </w:p>
    <w:p>
      <w:pPr>
        <w:pStyle w:val="2"/>
        <w:rPr>
          <w:rFonts w:hint="eastAsia" w:ascii="宋体" w:hAnsi="宋体" w:cs="Arial"/>
          <w:b w:val="0"/>
          <w:bCs/>
          <w:sz w:val="24"/>
          <w:highlight w:val="none"/>
          <w:lang w:val="en-US" w:eastAsia="zh-CN"/>
        </w:rPr>
      </w:pPr>
    </w:p>
    <w:p>
      <w:pPr>
        <w:pStyle w:val="2"/>
        <w:rPr>
          <w:rFonts w:hint="eastAsia" w:ascii="宋体" w:hAnsi="宋体" w:cs="Arial"/>
          <w:b w:val="0"/>
          <w:bCs/>
          <w:sz w:val="24"/>
          <w:highlight w:val="none"/>
          <w:lang w:val="en-US" w:eastAsia="zh-CN"/>
        </w:rPr>
      </w:pPr>
    </w:p>
    <w:p>
      <w:pPr>
        <w:pStyle w:val="2"/>
        <w:rPr>
          <w:rFonts w:hint="eastAsia" w:ascii="宋体" w:hAnsi="宋体" w:cs="Arial"/>
          <w:b w:val="0"/>
          <w:bCs/>
          <w:sz w:val="24"/>
          <w:highlight w:val="none"/>
          <w:lang w:val="en-US" w:eastAsia="zh-CN"/>
        </w:rPr>
      </w:pPr>
    </w:p>
    <w:p>
      <w:pPr>
        <w:pStyle w:val="2"/>
        <w:rPr>
          <w:rFonts w:hint="eastAsia" w:ascii="宋体" w:hAnsi="宋体" w:cs="Arial"/>
          <w:b w:val="0"/>
          <w:bCs/>
          <w:sz w:val="24"/>
          <w:highlight w:val="none"/>
          <w:lang w:val="en-US" w:eastAsia="zh-CN"/>
        </w:rPr>
      </w:pPr>
    </w:p>
    <w:p>
      <w:pPr>
        <w:pStyle w:val="2"/>
        <w:rPr>
          <w:rFonts w:hint="eastAsia" w:ascii="宋体" w:hAnsi="宋体" w:cs="Arial"/>
          <w:b w:val="0"/>
          <w:bCs/>
          <w:sz w:val="24"/>
          <w:highlight w:val="none"/>
          <w:lang w:val="en-US" w:eastAsia="zh-CN"/>
        </w:rPr>
      </w:pPr>
    </w:p>
    <w:p>
      <w:pPr>
        <w:pStyle w:val="2"/>
        <w:rPr>
          <w:rFonts w:hint="eastAsia" w:ascii="宋体" w:hAnsi="宋体" w:cs="Arial"/>
          <w:b w:val="0"/>
          <w:bCs/>
          <w:sz w:val="24"/>
          <w:highlight w:val="none"/>
          <w:lang w:val="en-US" w:eastAsia="zh-CN"/>
        </w:rPr>
      </w:pPr>
    </w:p>
    <w:p>
      <w:pPr>
        <w:spacing w:line="5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三</w:t>
      </w:r>
      <w:r>
        <w:rPr>
          <w:rFonts w:hint="eastAsia" w:ascii="宋体" w:hAnsi="宋体" w:eastAsia="宋体" w:cs="宋体"/>
          <w:b/>
          <w:sz w:val="36"/>
          <w:szCs w:val="36"/>
          <w:highlight w:val="none"/>
        </w:rPr>
        <w:t xml:space="preserve">章 </w:t>
      </w:r>
      <w:r>
        <w:rPr>
          <w:rFonts w:hint="eastAsia" w:ascii="宋体" w:hAnsi="宋体" w:cs="宋体"/>
          <w:b/>
          <w:sz w:val="36"/>
          <w:szCs w:val="36"/>
          <w:highlight w:val="none"/>
          <w:lang w:val="en-US" w:eastAsia="zh-CN"/>
        </w:rPr>
        <w:t>采购</w:t>
      </w:r>
      <w:r>
        <w:rPr>
          <w:rFonts w:hint="eastAsia" w:ascii="宋体" w:hAnsi="宋体" w:eastAsia="宋体" w:cs="宋体"/>
          <w:b/>
          <w:sz w:val="36"/>
          <w:szCs w:val="36"/>
          <w:highlight w:val="none"/>
        </w:rPr>
        <w:t>程序及评审标准</w:t>
      </w:r>
    </w:p>
    <w:p>
      <w:pPr>
        <w:spacing w:line="500" w:lineRule="exact"/>
        <w:ind w:firstLine="480" w:firstLineChars="200"/>
        <w:rPr>
          <w:rFonts w:ascii="宋体" w:hAnsi="宋体" w:eastAsia="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规定的时间、地点主持</w:t>
      </w:r>
      <w:r>
        <w:rPr>
          <w:rFonts w:hint="eastAsia" w:ascii="宋体" w:hAnsi="宋体" w:cs="宋体"/>
          <w:sz w:val="24"/>
          <w:highlight w:val="none"/>
          <w:lang w:val="en-US" w:eastAsia="zh-CN"/>
        </w:rPr>
        <w:t>采购</w:t>
      </w:r>
      <w:r>
        <w:rPr>
          <w:rFonts w:hint="eastAsia" w:ascii="宋体" w:hAnsi="宋体" w:eastAsia="宋体" w:cs="宋体"/>
          <w:sz w:val="24"/>
          <w:highlight w:val="none"/>
        </w:rPr>
        <w:t>活动。</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2、供应商不足3家的，不得开启。</w:t>
      </w:r>
    </w:p>
    <w:p>
      <w:pPr>
        <w:spacing w:line="500" w:lineRule="exact"/>
        <w:ind w:firstLine="220" w:firstLineChars="92"/>
        <w:rPr>
          <w:rFonts w:hint="eastAsia" w:ascii="宋体" w:hAnsi="宋体" w:eastAsia="宋体" w:cs="宋体"/>
          <w:sz w:val="24"/>
          <w:highlight w:val="none"/>
        </w:rPr>
      </w:pPr>
      <w:r>
        <w:rPr>
          <w:rFonts w:hint="eastAsia" w:ascii="宋体" w:hAnsi="宋体" w:eastAsia="宋体" w:cs="宋体"/>
          <w:sz w:val="24"/>
          <w:highlight w:val="none"/>
        </w:rPr>
        <w:t xml:space="preserve">  3、成立</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小组。采购人依法组建</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，成员人数为3人以上单数（含3人）。</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小组对响应文件的资格、有效性、完整性和响应程度进行审查，未实质性响应询价通知书的报价文件按无效处理。</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（1）在审查时，</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小组在</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过程中，不得改变</w:t>
      </w:r>
      <w:r>
        <w:rPr>
          <w:rFonts w:hint="eastAsia" w:ascii="宋体" w:hAnsi="宋体" w:cs="宋体"/>
          <w:sz w:val="24"/>
          <w:highlight w:val="none"/>
          <w:lang w:val="en-US" w:eastAsia="zh-CN"/>
        </w:rPr>
        <w:t>采购</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所确定的技术和服务等要求、评审程序、评定成交的标准和合同文本等事项。</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、参加采购活动的供应商，应当一次报出不得更改的价格。</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pPr>
        <w:spacing w:line="5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、出现下列情形之一的，采购人应当终止采购活动，发布项目终止公告并说明原因，重新开展采购活动：</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（一）因情况变化，不再符合规定的采购方式适用情形的；</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（二）出现影响采购公正的违法、违规行为的；</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（三）在采购过程中符合竞争要求的供应商或者报价未超过采购预算的供应商不足3家的。</w:t>
      </w:r>
    </w:p>
    <w:p>
      <w:pPr>
        <w:pStyle w:val="6"/>
        <w:tabs>
          <w:tab w:val="left" w:pos="8280"/>
        </w:tabs>
        <w:spacing w:line="500" w:lineRule="exact"/>
        <w:rPr>
          <w:rFonts w:hint="eastAsia"/>
          <w:b/>
          <w:bCs/>
          <w:sz w:val="24"/>
          <w:highlight w:val="none"/>
        </w:rPr>
      </w:pPr>
    </w:p>
    <w:p>
      <w:pPr>
        <w:rPr>
          <w:rFonts w:hint="eastAsia"/>
          <w:b/>
          <w:bCs/>
          <w:sz w:val="24"/>
          <w:highlight w:val="none"/>
        </w:rPr>
      </w:pPr>
    </w:p>
    <w:p>
      <w:pPr>
        <w:pStyle w:val="2"/>
        <w:ind w:left="0" w:leftChars="0" w:firstLine="0" w:firstLineChars="0"/>
        <w:rPr>
          <w:rFonts w:hint="eastAsia"/>
        </w:rPr>
      </w:pPr>
    </w:p>
    <w:p>
      <w:pPr>
        <w:pStyle w:val="6"/>
        <w:tabs>
          <w:tab w:val="left" w:pos="8280"/>
        </w:tabs>
        <w:spacing w:line="500" w:lineRule="exact"/>
        <w:rPr>
          <w:rFonts w:hint="eastAsia"/>
          <w:highlight w:val="none"/>
        </w:rPr>
      </w:pPr>
      <w:r>
        <w:rPr>
          <w:rFonts w:hint="eastAsia"/>
          <w:b/>
          <w:bCs/>
          <w:sz w:val="24"/>
          <w:highlight w:val="none"/>
        </w:rPr>
        <w:t>附表：</w:t>
      </w:r>
    </w:p>
    <w:p>
      <w:pPr>
        <w:pStyle w:val="6"/>
        <w:tabs>
          <w:tab w:val="left" w:pos="8280"/>
        </w:tabs>
        <w:spacing w:line="500" w:lineRule="exact"/>
        <w:jc w:val="left"/>
        <w:rPr>
          <w:rFonts w:hint="eastAsia"/>
          <w:b/>
          <w:bCs/>
          <w:sz w:val="28"/>
          <w:szCs w:val="28"/>
          <w:highlight w:val="none"/>
        </w:rPr>
      </w:pPr>
      <w:r>
        <w:rPr>
          <w:rFonts w:hint="eastAsia"/>
          <w:b/>
          <w:bCs/>
          <w:sz w:val="28"/>
          <w:szCs w:val="28"/>
          <w:highlight w:val="none"/>
          <w:lang w:val="en-US" w:eastAsia="zh-CN"/>
        </w:rPr>
        <w:t>附表1：</w:t>
      </w:r>
      <w:r>
        <w:rPr>
          <w:rFonts w:hint="eastAsia"/>
          <w:b/>
          <w:bCs/>
          <w:sz w:val="28"/>
          <w:szCs w:val="28"/>
          <w:highlight w:val="none"/>
        </w:rPr>
        <w:t>资格审查表</w:t>
      </w:r>
    </w:p>
    <w:tbl>
      <w:tblPr>
        <w:tblStyle w:val="19"/>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pPr>
              <w:autoSpaceDN w:val="0"/>
              <w:spacing w:line="360" w:lineRule="atLeast"/>
              <w:jc w:val="center"/>
              <w:rPr>
                <w:rFonts w:hint="eastAsia" w:ascii="宋体" w:hAnsi="宋体" w:eastAsia="宋体" w:cs="Arial"/>
                <w:b/>
                <w:bCs/>
                <w:sz w:val="24"/>
                <w:highlight w:val="none"/>
              </w:rPr>
            </w:pPr>
            <w:r>
              <w:rPr>
                <w:rFonts w:hint="eastAsia" w:ascii="宋体" w:hAnsi="宋体" w:eastAsia="宋体" w:cs="Arial"/>
                <w:b/>
                <w:bCs/>
                <w:sz w:val="24"/>
                <w:highlight w:val="none"/>
              </w:rPr>
              <w:t>通过（√）</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营业执照、税务登记证、组织机构代码证（三证合一的提供载有统一社会信用代码的营业执照）</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pPr>
              <w:rPr>
                <w:rFonts w:hint="eastAsia" w:ascii="宋体" w:hAnsi="宋体" w:eastAsia="宋体" w:cs="宋体"/>
                <w:sz w:val="24"/>
                <w:szCs w:val="24"/>
                <w:highlight w:val="none"/>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pP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法定代表人授权委托书及委托代理人身份证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《中华人民共和国政府采购法》第二十二条规定的</w:t>
            </w:r>
            <w:r>
              <w:rPr>
                <w:rFonts w:hint="eastAsia" w:ascii="宋体" w:hAnsi="宋体" w:eastAsia="宋体" w:cs="宋体"/>
                <w:sz w:val="24"/>
                <w:szCs w:val="24"/>
                <w:highlight w:val="none"/>
                <w:lang w:val="en-US" w:eastAsia="zh-CN"/>
              </w:rPr>
              <w:t>承诺函并加盖公章</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bl>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rPr>
          <w:rFonts w:hint="eastAsia"/>
          <w:b/>
          <w:bCs/>
          <w:sz w:val="28"/>
          <w:szCs w:val="28"/>
          <w:highlight w:val="none"/>
          <w:lang w:val="en-US" w:eastAsia="zh-CN"/>
        </w:rPr>
      </w:pPr>
    </w:p>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highlight w:val="none"/>
          <w:lang w:val="en-US" w:eastAsia="zh-CN"/>
        </w:rPr>
        <w:t>附表2：</w:t>
      </w:r>
      <w:r>
        <w:rPr>
          <w:rFonts w:hint="eastAsia"/>
          <w:b/>
          <w:bCs/>
          <w:sz w:val="28"/>
          <w:szCs w:val="28"/>
          <w:highlight w:val="none"/>
        </w:rPr>
        <w:t>符合性评审内容及合格条</w:t>
      </w:r>
      <w:r>
        <w:rPr>
          <w:rFonts w:hint="eastAsia"/>
          <w:b/>
          <w:bCs/>
          <w:sz w:val="28"/>
          <w:szCs w:val="28"/>
          <w:highlight w:val="none"/>
          <w:lang w:val="en-US" w:eastAsia="zh-CN"/>
        </w:rPr>
        <w:t>件</w:t>
      </w:r>
    </w:p>
    <w:tbl>
      <w:tblPr>
        <w:tblStyle w:val="19"/>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165"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审查项目内容</w:t>
            </w:r>
          </w:p>
        </w:tc>
        <w:tc>
          <w:tcPr>
            <w:tcW w:w="3430"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合格条件</w:t>
            </w:r>
          </w:p>
        </w:tc>
        <w:tc>
          <w:tcPr>
            <w:tcW w:w="4013" w:type="dxa"/>
            <w:gridSpan w:val="2"/>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pPr>
              <w:spacing w:line="500" w:lineRule="exact"/>
              <w:jc w:val="center"/>
              <w:rPr>
                <w:rFonts w:hint="eastAsia" w:ascii="宋体" w:hAnsi="宋体" w:eastAsia="宋体" w:cs="宋体"/>
                <w:sz w:val="24"/>
                <w:highlight w:val="none"/>
              </w:rPr>
            </w:pPr>
          </w:p>
        </w:tc>
        <w:tc>
          <w:tcPr>
            <w:tcW w:w="2165" w:type="dxa"/>
            <w:vMerge w:val="continue"/>
            <w:noWrap w:val="0"/>
            <w:vAlign w:val="top"/>
          </w:tcPr>
          <w:p>
            <w:pPr>
              <w:spacing w:line="500" w:lineRule="exact"/>
              <w:jc w:val="center"/>
              <w:rPr>
                <w:rFonts w:hint="eastAsia" w:ascii="宋体" w:hAnsi="宋体" w:eastAsia="宋体" w:cs="宋体"/>
                <w:sz w:val="24"/>
                <w:highlight w:val="none"/>
              </w:rPr>
            </w:pPr>
          </w:p>
        </w:tc>
        <w:tc>
          <w:tcPr>
            <w:tcW w:w="3430" w:type="dxa"/>
            <w:vMerge w:val="continue"/>
            <w:noWrap w:val="0"/>
            <w:vAlign w:val="top"/>
          </w:tcPr>
          <w:p>
            <w:pPr>
              <w:spacing w:line="500" w:lineRule="exact"/>
              <w:jc w:val="center"/>
              <w:rPr>
                <w:rFonts w:hint="eastAsia" w:ascii="宋体" w:hAnsi="宋体" w:eastAsia="宋体" w:cs="宋体"/>
                <w:sz w:val="24"/>
                <w:highlight w:val="none"/>
              </w:rPr>
            </w:pPr>
          </w:p>
        </w:tc>
        <w:tc>
          <w:tcPr>
            <w:tcW w:w="1853" w:type="dxa"/>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通过打“√”</w:t>
            </w:r>
          </w:p>
        </w:tc>
        <w:tc>
          <w:tcPr>
            <w:tcW w:w="2160" w:type="dxa"/>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格式”的要求签字盖章</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投标方案</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color w:val="000000"/>
                <w:sz w:val="24"/>
                <w:highlight w:val="none"/>
              </w:rPr>
              <w:t>不允许备选方案，只能有一个方案投标</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只能有一个有效报价</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2165"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份数</w:t>
            </w:r>
          </w:p>
        </w:tc>
        <w:tc>
          <w:tcPr>
            <w:tcW w:w="3430"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正本、副本数量符合招标文件要求</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2165"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完整性</w:t>
            </w:r>
          </w:p>
        </w:tc>
        <w:tc>
          <w:tcPr>
            <w:tcW w:w="3430"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内容齐全、无遗漏</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结论(通过/不通过)</w:t>
            </w:r>
          </w:p>
        </w:tc>
        <w:tc>
          <w:tcPr>
            <w:tcW w:w="4013" w:type="dxa"/>
            <w:gridSpan w:val="2"/>
            <w:noWrap w:val="0"/>
            <w:vAlign w:val="center"/>
          </w:tcPr>
          <w:p>
            <w:pPr>
              <w:spacing w:line="440" w:lineRule="exact"/>
              <w:jc w:val="center"/>
              <w:rPr>
                <w:rFonts w:hint="eastAsia" w:ascii="宋体" w:hAnsi="宋体" w:eastAsia="宋体" w:cs="宋体"/>
                <w:sz w:val="24"/>
                <w:highlight w:val="none"/>
              </w:rPr>
            </w:pPr>
          </w:p>
        </w:tc>
      </w:tr>
    </w:tbl>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备注：1、评审小组应对有效供应商的上述检查条件查验是否合格，合格者划√，不合格者划×，同时还应核对提供文件的响应性。</w:t>
      </w:r>
    </w:p>
    <w:p>
      <w:pPr>
        <w:numPr>
          <w:ilvl w:val="0"/>
          <w:numId w:val="9"/>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对符合性检查未通过者，不应进入下一步评审。</w:t>
      </w: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pStyle w:val="2"/>
        <w:rPr>
          <w:rFonts w:hint="eastAsia" w:ascii="宋体" w:hAnsi="宋体" w:cs="宋体"/>
          <w:b/>
          <w:color w:val="auto"/>
          <w:sz w:val="28"/>
          <w:szCs w:val="28"/>
          <w:highlight w:val="none"/>
          <w:lang w:val="en-US" w:eastAsia="zh-CN"/>
        </w:rPr>
      </w:pPr>
    </w:p>
    <w:p>
      <w:pPr>
        <w:pStyle w:val="2"/>
        <w:rPr>
          <w:rFonts w:hint="eastAsia" w:ascii="宋体" w:hAnsi="宋体" w:cs="宋体"/>
          <w:b/>
          <w:color w:val="auto"/>
          <w:sz w:val="28"/>
          <w:szCs w:val="28"/>
          <w:highlight w:val="none"/>
          <w:lang w:val="en-US" w:eastAsia="zh-CN"/>
        </w:rPr>
      </w:pPr>
    </w:p>
    <w:p>
      <w:pPr>
        <w:pStyle w:val="2"/>
        <w:rPr>
          <w:rFonts w:hint="eastAsia" w:ascii="宋体" w:hAnsi="宋体" w:cs="宋体"/>
          <w:b/>
          <w:color w:val="auto"/>
          <w:sz w:val="28"/>
          <w:szCs w:val="28"/>
          <w:highlight w:val="none"/>
          <w:lang w:val="en-US" w:eastAsia="zh-CN"/>
        </w:rPr>
      </w:pPr>
      <w:bookmarkStart w:id="7" w:name="_GoBack"/>
      <w:bookmarkEnd w:id="7"/>
    </w:p>
    <w:p>
      <w:pPr>
        <w:rPr>
          <w:rFonts w:hint="default"/>
          <w:highlight w:val="none"/>
          <w:lang w:val="en-US" w:eastAsia="zh-CN"/>
        </w:rPr>
      </w:pPr>
    </w:p>
    <w:p>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9"/>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评分项目</w:t>
            </w:r>
          </w:p>
        </w:tc>
        <w:tc>
          <w:tcPr>
            <w:tcW w:w="693"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标准分</w:t>
            </w:r>
          </w:p>
        </w:tc>
        <w:tc>
          <w:tcPr>
            <w:tcW w:w="4720"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评分标准</w:t>
            </w:r>
          </w:p>
        </w:tc>
        <w:tc>
          <w:tcPr>
            <w:tcW w:w="4280" w:type="dxa"/>
            <w:gridSpan w:val="4"/>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pPr>
              <w:widowControl/>
              <w:jc w:val="left"/>
              <w:rPr>
                <w:rFonts w:ascii="宋体" w:hAnsi="宋体" w:cs="宋体"/>
                <w:kern w:val="0"/>
                <w:sz w:val="24"/>
                <w:highlight w:val="none"/>
              </w:rPr>
            </w:pPr>
          </w:p>
        </w:tc>
        <w:tc>
          <w:tcPr>
            <w:tcW w:w="693" w:type="dxa"/>
            <w:vMerge w:val="continue"/>
            <w:noWrap w:val="0"/>
            <w:vAlign w:val="center"/>
          </w:tcPr>
          <w:p>
            <w:pPr>
              <w:widowControl/>
              <w:jc w:val="left"/>
              <w:rPr>
                <w:rFonts w:ascii="宋体" w:hAnsi="宋体" w:cs="宋体"/>
                <w:kern w:val="0"/>
                <w:sz w:val="24"/>
                <w:highlight w:val="none"/>
              </w:rPr>
            </w:pPr>
          </w:p>
        </w:tc>
        <w:tc>
          <w:tcPr>
            <w:tcW w:w="4720" w:type="dxa"/>
            <w:vMerge w:val="continue"/>
            <w:noWrap w:val="0"/>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1号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2号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3号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kern w:val="0"/>
                <w:sz w:val="24"/>
                <w:highlight w:val="none"/>
              </w:rPr>
              <w:t>投标报价</w:t>
            </w:r>
          </w:p>
        </w:tc>
        <w:tc>
          <w:tcPr>
            <w:tcW w:w="693" w:type="dxa"/>
            <w:noWrap w:val="0"/>
            <w:tcMar>
              <w:top w:w="0" w:type="dxa"/>
              <w:left w:w="105" w:type="dxa"/>
              <w:bottom w:w="0" w:type="dxa"/>
              <w:right w:w="105" w:type="dxa"/>
            </w:tcMar>
            <w:vAlign w:val="center"/>
          </w:tcPr>
          <w:p>
            <w:pPr>
              <w:widowControl/>
              <w:spacing w:before="150" w:after="150" w:line="360"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pPr>
              <w:widowControl/>
              <w:spacing w:before="150" w:after="150" w:line="360"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highlight w:val="none"/>
                <w:lang w:val="en-US" w:eastAsia="zh-CN"/>
              </w:rPr>
              <w:t>×30</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货物规格参数</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pPr>
              <w:widowControl/>
              <w:spacing w:line="315" w:lineRule="atLeast"/>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技术先进性和可靠性</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售后服务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1、在本地、市、省一级有专职维修人员分别得5、3、1分</w:t>
            </w:r>
          </w:p>
          <w:p>
            <w:pPr>
              <w:widowControl/>
              <w:spacing w:line="315"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r>
              <w:rPr>
                <w:rFonts w:hint="eastAsia" w:ascii="宋体" w:hAnsi="宋体" w:cs="宋体"/>
                <w:kern w:val="0"/>
                <w:sz w:val="24"/>
                <w:highlight w:val="none"/>
              </w:rPr>
              <w:t>、故障响应时间为2小时内</w:t>
            </w:r>
            <w:r>
              <w:rPr>
                <w:rFonts w:hint="eastAsia" w:ascii="宋体" w:hAnsi="宋体" w:cs="宋体"/>
                <w:kern w:val="0"/>
                <w:sz w:val="24"/>
                <w:highlight w:val="none"/>
                <w:lang w:val="en-US" w:eastAsia="zh-CN"/>
              </w:rPr>
              <w:t>得10分，</w:t>
            </w:r>
            <w:r>
              <w:rPr>
                <w:rFonts w:hint="eastAsia" w:ascii="宋体" w:hAnsi="宋体" w:cs="宋体"/>
                <w:kern w:val="0"/>
                <w:sz w:val="24"/>
                <w:highlight w:val="none"/>
              </w:rPr>
              <w:t>对科室人员提供技术培训</w:t>
            </w:r>
            <w:r>
              <w:rPr>
                <w:rFonts w:hint="eastAsia" w:ascii="宋体" w:hAnsi="宋体" w:cs="宋体"/>
                <w:kern w:val="0"/>
                <w:sz w:val="24"/>
                <w:highlight w:val="none"/>
                <w:lang w:val="en-US" w:eastAsia="zh-CN"/>
              </w:rPr>
              <w:t>得5</w:t>
            </w:r>
            <w:r>
              <w:rPr>
                <w:rFonts w:hint="eastAsia" w:ascii="宋体" w:hAnsi="宋体" w:cs="宋体"/>
                <w:kern w:val="0"/>
                <w:sz w:val="24"/>
                <w:highlight w:val="none"/>
              </w:rPr>
              <w:t>分</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不满足不得分。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合计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100</w:t>
            </w:r>
          </w:p>
        </w:tc>
        <w:tc>
          <w:tcPr>
            <w:tcW w:w="472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vAlign w:val="center"/>
          </w:tcPr>
          <w:p>
            <w:pPr>
              <w:widowControl/>
              <w:jc w:val="left"/>
              <w:rPr>
                <w:kern w:val="0"/>
                <w:sz w:val="20"/>
                <w:szCs w:val="20"/>
                <w:highlight w:val="none"/>
              </w:rPr>
            </w:pPr>
          </w:p>
        </w:tc>
        <w:tc>
          <w:tcPr>
            <w:tcW w:w="1070" w:type="dxa"/>
            <w:noWrap w:val="0"/>
            <w:vAlign w:val="center"/>
          </w:tcPr>
          <w:p>
            <w:pPr>
              <w:widowControl/>
              <w:jc w:val="left"/>
              <w:rPr>
                <w:kern w:val="0"/>
                <w:sz w:val="20"/>
                <w:szCs w:val="20"/>
                <w:highlight w:val="none"/>
              </w:rPr>
            </w:pPr>
          </w:p>
        </w:tc>
        <w:tc>
          <w:tcPr>
            <w:tcW w:w="1070" w:type="dxa"/>
            <w:noWrap w:val="0"/>
            <w:vAlign w:val="center"/>
          </w:tcPr>
          <w:p>
            <w:pPr>
              <w:widowControl/>
              <w:jc w:val="left"/>
              <w:rPr>
                <w:kern w:val="0"/>
                <w:sz w:val="20"/>
                <w:szCs w:val="20"/>
                <w:highlight w:val="none"/>
              </w:rPr>
            </w:pPr>
          </w:p>
        </w:tc>
      </w:tr>
    </w:tbl>
    <w:p>
      <w:pPr>
        <w:tabs>
          <w:tab w:val="left" w:pos="6480"/>
        </w:tabs>
        <w:spacing w:line="240" w:lineRule="auto"/>
        <w:jc w:val="left"/>
        <w:rPr>
          <w:rFonts w:hint="eastAsia" w:ascii="宋体" w:hAnsi="宋体" w:eastAsia="宋体" w:cs="宋体"/>
          <w:b/>
          <w:color w:val="auto"/>
          <w:sz w:val="24"/>
          <w:szCs w:val="24"/>
          <w:highlight w:val="none"/>
        </w:rPr>
      </w:pPr>
    </w:p>
    <w:p>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pStyle w:val="18"/>
        <w:rPr>
          <w:rFonts w:hint="eastAsia" w:ascii="宋体" w:hAnsi="宋体" w:eastAsia="宋体" w:cs="宋体"/>
          <w:b/>
          <w:color w:val="auto"/>
          <w:sz w:val="24"/>
          <w:szCs w:val="24"/>
          <w:highlight w:val="none"/>
        </w:rPr>
      </w:pPr>
    </w:p>
    <w:p>
      <w:pPr>
        <w:rPr>
          <w:rFonts w:hint="eastAsia"/>
          <w:highlight w:val="none"/>
        </w:rPr>
      </w:pPr>
    </w:p>
    <w:p>
      <w:pPr>
        <w:pStyle w:val="18"/>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18"/>
        <w:rPr>
          <w:rFonts w:hint="eastAsia"/>
          <w:highlight w:val="none"/>
        </w:rPr>
      </w:pPr>
    </w:p>
    <w:p>
      <w:pPr>
        <w:pStyle w:val="27"/>
        <w:ind w:firstLine="643"/>
        <w:jc w:val="center"/>
        <w:rPr>
          <w:rFonts w:hint="eastAsia" w:ascii="宋体" w:hAnsi="宋体" w:eastAsia="宋体" w:cs="宋体"/>
          <w:bCs/>
          <w:sz w:val="32"/>
          <w:szCs w:val="32"/>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四</w:t>
      </w:r>
      <w:r>
        <w:rPr>
          <w:rFonts w:hint="eastAsia" w:ascii="宋体" w:hAnsi="宋体" w:eastAsia="宋体" w:cs="宋体"/>
          <w:b/>
          <w:sz w:val="36"/>
          <w:szCs w:val="36"/>
          <w:highlight w:val="none"/>
        </w:rPr>
        <w:t>章  响应文件格式</w:t>
      </w:r>
    </w:p>
    <w:tbl>
      <w:tblPr>
        <w:tblStyle w:val="20"/>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pPr>
        <w:tabs>
          <w:tab w:val="left" w:pos="8280"/>
        </w:tabs>
        <w:jc w:val="right"/>
        <w:rPr>
          <w:rFonts w:hint="eastAsia" w:ascii="宋体" w:hAnsi="宋体" w:eastAsia="宋体" w:cs="宋体"/>
          <w:bCs/>
          <w:sz w:val="30"/>
          <w:szCs w:val="30"/>
          <w:highlight w:val="none"/>
        </w:rPr>
      </w:pPr>
    </w:p>
    <w:p>
      <w:pPr>
        <w:adjustRightInd w:val="0"/>
        <w:snapToGrid w:val="0"/>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6"/>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spacing w:val="12"/>
          <w:sz w:val="24"/>
          <w:szCs w:val="24"/>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议价</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pPr>
        <w:pStyle w:val="18"/>
        <w:numPr>
          <w:ilvl w:val="0"/>
          <w:numId w:val="0"/>
        </w:numPr>
        <w:jc w:val="both"/>
        <w:rPr>
          <w:rFonts w:hint="eastAsia" w:ascii="宋体" w:hAnsi="宋体" w:eastAsia="宋体" w:cs="宋体"/>
          <w:kern w:val="0"/>
          <w:sz w:val="24"/>
          <w:szCs w:val="24"/>
          <w:highlight w:val="none"/>
          <w:lang w:val="en-US" w:eastAsia="zh-CN"/>
        </w:rPr>
      </w:pPr>
    </w:p>
    <w:p>
      <w:pPr>
        <w:pStyle w:val="18"/>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pPr>
        <w:pStyle w:val="6"/>
        <w:rPr>
          <w:rFonts w:hint="eastAsia" w:ascii="宋体" w:hAnsi="宋体" w:eastAsia="宋体" w:cs="宋体"/>
          <w:kern w:val="0"/>
          <w:sz w:val="24"/>
          <w:szCs w:val="24"/>
          <w:highlight w:val="none"/>
          <w:lang w:val="en-US" w:eastAsia="zh-CN"/>
        </w:rPr>
      </w:pPr>
    </w:p>
    <w:p>
      <w:pPr>
        <w:pStyle w:val="6"/>
        <w:spacing w:after="0"/>
        <w:ind w:firstLine="480" w:firstLineChars="200"/>
        <w:rPr>
          <w:rFonts w:hint="default"/>
          <w:sz w:val="24"/>
          <w:szCs w:val="24"/>
          <w:highlight w:val="none"/>
          <w:lang w:val="en-US" w:eastAsia="zh-CN"/>
        </w:rPr>
      </w:pPr>
      <w:r>
        <w:rPr>
          <w:rFonts w:hint="eastAsia" w:ascii="宋体" w:hAnsi="宋体" w:eastAsia="宋体" w:cs="宋体"/>
          <w:kern w:val="0"/>
          <w:sz w:val="24"/>
          <w:szCs w:val="24"/>
          <w:highlight w:val="none"/>
          <w:lang w:val="en-US" w:eastAsia="zh-CN"/>
        </w:rPr>
        <w:t>八、</w:t>
      </w:r>
      <w:r>
        <w:rPr>
          <w:rFonts w:hint="eastAsia"/>
          <w:sz w:val="24"/>
          <w:szCs w:val="24"/>
          <w:highlight w:val="none"/>
          <w:lang w:val="en-US" w:eastAsia="zh-CN"/>
        </w:rPr>
        <w:t>投标人认为其它有必要的其他资料</w:t>
      </w:r>
    </w:p>
    <w:p>
      <w:pPr>
        <w:pStyle w:val="7"/>
        <w:numPr>
          <w:ilvl w:val="0"/>
          <w:numId w:val="0"/>
        </w:numPr>
        <w:ind w:firstLine="480" w:firstLineChars="200"/>
        <w:rPr>
          <w:rFonts w:hint="eastAsia" w:ascii="宋体" w:hAnsi="宋体" w:eastAsia="宋体" w:cs="宋体"/>
          <w:kern w:val="0"/>
          <w:sz w:val="24"/>
          <w:szCs w:val="24"/>
          <w:highlight w:val="none"/>
          <w:lang w:val="en-US" w:eastAsia="zh-CN"/>
        </w:rPr>
      </w:pPr>
    </w:p>
    <w:p>
      <w:pPr>
        <w:numPr>
          <w:ilvl w:val="0"/>
          <w:numId w:val="0"/>
        </w:numPr>
        <w:rPr>
          <w:rFonts w:hint="eastAsia"/>
          <w:sz w:val="24"/>
          <w:szCs w:val="24"/>
          <w:highlight w:val="none"/>
          <w:lang w:val="en-US" w:eastAsia="zh-CN"/>
        </w:rPr>
      </w:pPr>
      <w:r>
        <w:rPr>
          <w:rFonts w:hint="eastAsia"/>
          <w:sz w:val="24"/>
          <w:szCs w:val="24"/>
          <w:highlight w:val="none"/>
          <w:lang w:val="en-US" w:eastAsia="zh-CN"/>
        </w:rPr>
        <w:t xml:space="preserve">     </w:t>
      </w:r>
    </w:p>
    <w:p>
      <w:pPr>
        <w:pStyle w:val="6"/>
        <w:spacing w:after="0"/>
        <w:rPr>
          <w:rFonts w:hint="default"/>
          <w:sz w:val="24"/>
          <w:szCs w:val="24"/>
          <w:highlight w:val="none"/>
          <w:lang w:val="en-US" w:eastAsia="zh-CN"/>
        </w:rPr>
      </w:pPr>
      <w:r>
        <w:rPr>
          <w:rFonts w:hint="eastAsia"/>
          <w:sz w:val="24"/>
          <w:szCs w:val="24"/>
          <w:highlight w:val="none"/>
          <w:lang w:val="en-US" w:eastAsia="zh-CN"/>
        </w:rPr>
        <w:t xml:space="preserve">    </w:t>
      </w:r>
    </w:p>
    <w:p>
      <w:pPr>
        <w:spacing w:line="360" w:lineRule="auto"/>
        <w:ind w:firstLine="840" w:firstLineChars="350"/>
        <w:rPr>
          <w:rFonts w:hint="eastAsia" w:ascii="宋体" w:hAnsi="宋体" w:eastAsia="宋体" w:cs="宋体"/>
          <w:sz w:val="24"/>
          <w:szCs w:val="24"/>
          <w:highlight w:val="none"/>
        </w:rPr>
      </w:pPr>
    </w:p>
    <w:p>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pPr>
        <w:adjustRightInd w:val="0"/>
        <w:snapToGrid w:val="0"/>
        <w:spacing w:line="360" w:lineRule="auto"/>
        <w:ind w:firstLine="285"/>
        <w:rPr>
          <w:rFonts w:hint="eastAsia" w:ascii="宋体" w:hAnsi="宋体" w:eastAsia="宋体" w:cs="宋体"/>
          <w:spacing w:val="12"/>
          <w:sz w:val="24"/>
          <w:szCs w:val="24"/>
          <w:highlight w:val="none"/>
        </w:rPr>
      </w:pPr>
    </w:p>
    <w:p>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pPr>
        <w:ind w:firstLine="480" w:firstLineChars="20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投标</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ind w:firstLine="5148" w:firstLineChars="1950"/>
        <w:rPr>
          <w:rFonts w:hint="eastAsia" w:ascii="宋体" w:hAnsi="宋体" w:eastAsia="宋体" w:cs="宋体"/>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 xml:space="preserve">人：（公章）   </w:t>
      </w:r>
    </w:p>
    <w:p>
      <w:pPr>
        <w:ind w:firstLine="480" w:firstLineChars="200"/>
        <w:rPr>
          <w:rFonts w:hint="eastAsia" w:ascii="宋体" w:hAnsi="宋体" w:eastAsia="宋体" w:cs="宋体"/>
          <w:sz w:val="24"/>
          <w:szCs w:val="24"/>
          <w:highlight w:val="none"/>
        </w:rPr>
      </w:pPr>
    </w:p>
    <w:p>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rPr>
          <w:rFonts w:hint="eastAsia"/>
          <w:highlight w:val="none"/>
        </w:rPr>
      </w:pPr>
    </w:p>
    <w:p>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pPr>
        <w:pStyle w:val="23"/>
        <w:numPr>
          <w:ilvl w:val="0"/>
          <w:numId w:val="0"/>
        </w:numPr>
        <w:rPr>
          <w:rFonts w:hint="eastAsia"/>
          <w:highlight w:val="none"/>
        </w:rPr>
      </w:pPr>
    </w:p>
    <w:p>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360" w:lineRule="auto"/>
        <w:rPr>
          <w:rFonts w:hint="eastAsia" w:ascii="宋体" w:hAnsi="宋体" w:eastAsia="宋体" w:cs="宋体"/>
          <w:spacing w:val="12"/>
          <w:sz w:val="24"/>
          <w:szCs w:val="24"/>
          <w:highlight w:val="none"/>
        </w:rPr>
      </w:pPr>
    </w:p>
    <w:p>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人：（公章）                   法定代表人：（签字）</w:t>
      </w:r>
    </w:p>
    <w:p>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hint="eastAsia" w:ascii="宋体" w:hAnsi="宋体" w:eastAsia="宋体" w:cs="宋体"/>
          <w:spacing w:val="12"/>
          <w:sz w:val="24"/>
          <w:szCs w:val="24"/>
          <w:highlight w:val="none"/>
        </w:rPr>
      </w:pPr>
    </w:p>
    <w:p>
      <w:pPr>
        <w:pStyle w:val="23"/>
        <w:rPr>
          <w:rFonts w:hint="default" w:eastAsia="宋体"/>
          <w:highlight w:val="none"/>
          <w:lang w:val="en-US" w:eastAsia="zh-CN"/>
        </w:rPr>
      </w:pPr>
    </w:p>
    <w:p>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pPr>
        <w:pStyle w:val="23"/>
        <w:rPr>
          <w:rFonts w:hint="default" w:eastAsia="宋体"/>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pPr>
        <w:pStyle w:val="3"/>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pPr>
        <w:tabs>
          <w:tab w:val="left" w:pos="1440"/>
        </w:tabs>
        <w:spacing w:line="360" w:lineRule="auto"/>
        <w:ind w:firstLine="482" w:firstLineChars="200"/>
        <w:jc w:val="center"/>
        <w:rPr>
          <w:rFonts w:hint="eastAsia" w:ascii="宋体" w:hAnsi="宋体" w:eastAsia="宋体" w:cs="宋体"/>
          <w:b/>
          <w:sz w:val="24"/>
          <w:highlight w:val="none"/>
        </w:rPr>
      </w:pPr>
      <w:r>
        <w:rPr>
          <w:rFonts w:hint="eastAsia" w:ascii="宋体" w:hAnsi="宋体" w:eastAsia="宋体" w:cs="宋体"/>
          <w:b/>
          <w:kern w:val="0"/>
          <w:sz w:val="24"/>
          <w:highlight w:val="none"/>
          <w:lang w:val="en-US" w:eastAsia="zh-CN"/>
        </w:rPr>
        <w:t>1、</w:t>
      </w:r>
      <w:r>
        <w:rPr>
          <w:rFonts w:hint="eastAsia" w:ascii="宋体" w:hAnsi="宋体" w:eastAsia="宋体" w:cs="宋体"/>
          <w:b/>
          <w:kern w:val="0"/>
          <w:sz w:val="24"/>
          <w:highlight w:val="none"/>
        </w:rPr>
        <w:t>投标人基本情况表</w:t>
      </w:r>
    </w:p>
    <w:tbl>
      <w:tblPr>
        <w:tblStyle w:val="19"/>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投标人名称</w:t>
            </w:r>
          </w:p>
        </w:tc>
        <w:tc>
          <w:tcPr>
            <w:tcW w:w="7196" w:type="dxa"/>
            <w:gridSpan w:val="6"/>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4514" w:type="dxa"/>
            <w:gridSpan w:val="4"/>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税务登记证号</w:t>
            </w: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4514" w:type="dxa"/>
            <w:gridSpan w:val="4"/>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130" w:type="dxa"/>
            <w:gridSpan w:val="2"/>
            <w:noWrap w:val="0"/>
            <w:vAlign w:val="center"/>
          </w:tcPr>
          <w:p>
            <w:pPr>
              <w:jc w:val="center"/>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2682" w:type="dxa"/>
            <w:gridSpan w:val="2"/>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130" w:type="dxa"/>
            <w:gridSpan w:val="2"/>
            <w:noWrap w:val="0"/>
            <w:vAlign w:val="center"/>
          </w:tcPr>
          <w:p>
            <w:pPr>
              <w:jc w:val="center"/>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682" w:type="dxa"/>
            <w:gridSpan w:val="2"/>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成立时间</w:t>
            </w:r>
          </w:p>
        </w:tc>
        <w:tc>
          <w:tcPr>
            <w:tcW w:w="2130" w:type="dxa"/>
            <w:gridSpan w:val="2"/>
            <w:noWrap w:val="0"/>
            <w:vAlign w:val="center"/>
          </w:tcPr>
          <w:p>
            <w:pPr>
              <w:ind w:firstLine="945" w:firstLineChars="450"/>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2682" w:type="dxa"/>
            <w:gridSpan w:val="2"/>
            <w:noWrap w:val="0"/>
            <w:vAlign w:val="center"/>
          </w:tcPr>
          <w:p>
            <w:pPr>
              <w:ind w:firstLine="1575" w:firstLineChars="750"/>
              <w:rPr>
                <w:rFonts w:hint="eastAsia" w:ascii="宋体" w:hAnsi="宋体" w:eastAsia="宋体" w:cs="宋体"/>
                <w:szCs w:val="21"/>
                <w:highlight w:val="none"/>
              </w:rPr>
            </w:pPr>
            <w:r>
              <w:rPr>
                <w:rFonts w:hint="eastAsia" w:ascii="宋体" w:hAnsi="宋体" w:eastAsia="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196" w:type="dxa"/>
            <w:gridSpan w:val="6"/>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单位员工结构</w:t>
            </w:r>
          </w:p>
        </w:tc>
        <w:tc>
          <w:tcPr>
            <w:tcW w:w="13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员工总数</w:t>
            </w:r>
          </w:p>
        </w:tc>
        <w:tc>
          <w:tcPr>
            <w:tcW w:w="1500"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管理人员</w:t>
            </w:r>
          </w:p>
        </w:tc>
        <w:tc>
          <w:tcPr>
            <w:tcW w:w="1633"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技术人员</w:t>
            </w: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售后人员</w:t>
            </w:r>
          </w:p>
        </w:tc>
        <w:tc>
          <w:tcPr>
            <w:tcW w:w="1101"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财务人员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pPr>
              <w:jc w:val="center"/>
              <w:rPr>
                <w:rFonts w:hint="eastAsia" w:ascii="宋体" w:hAnsi="宋体" w:eastAsia="宋体" w:cs="宋体"/>
                <w:szCs w:val="21"/>
                <w:highlight w:val="none"/>
              </w:rPr>
            </w:pPr>
          </w:p>
        </w:tc>
        <w:tc>
          <w:tcPr>
            <w:tcW w:w="1381" w:type="dxa"/>
            <w:noWrap w:val="0"/>
            <w:vAlign w:val="center"/>
          </w:tcPr>
          <w:p>
            <w:pPr>
              <w:jc w:val="center"/>
              <w:rPr>
                <w:rFonts w:hint="eastAsia" w:ascii="宋体" w:hAnsi="宋体" w:eastAsia="宋体" w:cs="宋体"/>
                <w:szCs w:val="21"/>
                <w:highlight w:val="none"/>
              </w:rPr>
            </w:pPr>
          </w:p>
        </w:tc>
        <w:tc>
          <w:tcPr>
            <w:tcW w:w="1500" w:type="dxa"/>
            <w:gridSpan w:val="2"/>
            <w:noWrap w:val="0"/>
            <w:vAlign w:val="center"/>
          </w:tcPr>
          <w:p>
            <w:pPr>
              <w:jc w:val="center"/>
              <w:rPr>
                <w:rFonts w:hint="eastAsia" w:ascii="宋体" w:hAnsi="宋体" w:eastAsia="宋体" w:cs="宋体"/>
                <w:szCs w:val="21"/>
                <w:highlight w:val="none"/>
              </w:rPr>
            </w:pPr>
          </w:p>
        </w:tc>
        <w:tc>
          <w:tcPr>
            <w:tcW w:w="1633" w:type="dxa"/>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pPr>
              <w:tabs>
                <w:tab w:val="left" w:pos="1800"/>
              </w:tabs>
              <w:autoSpaceDE w:val="0"/>
              <w:autoSpaceDN w:val="0"/>
              <w:adjustRightInd w:val="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备注</w:t>
            </w:r>
          </w:p>
        </w:tc>
        <w:tc>
          <w:tcPr>
            <w:tcW w:w="7196" w:type="dxa"/>
            <w:gridSpan w:val="6"/>
            <w:noWrap w:val="0"/>
            <w:vAlign w:val="center"/>
          </w:tcPr>
          <w:p>
            <w:pPr>
              <w:tabs>
                <w:tab w:val="left" w:pos="1800"/>
              </w:tabs>
              <w:autoSpaceDE w:val="0"/>
              <w:autoSpaceDN w:val="0"/>
              <w:adjustRightInd w:val="0"/>
              <w:rPr>
                <w:rFonts w:hint="eastAsia" w:ascii="宋体" w:hAnsi="宋体" w:eastAsia="宋体" w:cs="宋体"/>
                <w:kern w:val="0"/>
                <w:szCs w:val="21"/>
                <w:highlight w:val="none"/>
              </w:rPr>
            </w:pPr>
          </w:p>
        </w:tc>
      </w:tr>
    </w:tbl>
    <w:p>
      <w:pPr>
        <w:spacing w:line="360" w:lineRule="auto"/>
        <w:ind w:firstLine="257" w:firstLineChars="100"/>
        <w:jc w:val="both"/>
        <w:rPr>
          <w:rFonts w:hint="eastAsia" w:ascii="宋体" w:hAnsi="宋体" w:eastAsia="宋体" w:cs="宋体"/>
          <w:b/>
          <w:spacing w:val="8"/>
          <w:sz w:val="24"/>
          <w:szCs w:val="24"/>
          <w:highlight w:val="none"/>
          <w:lang w:val="en-US" w:eastAsia="zh-CN"/>
        </w:rPr>
      </w:pPr>
    </w:p>
    <w:p>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highlight w:val="none"/>
        </w:rPr>
        <w:t>投标人资格证明文件：</w:t>
      </w:r>
    </w:p>
    <w:p>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pPr>
        <w:pStyle w:val="23"/>
        <w:rPr>
          <w:rFonts w:hint="eastAsia"/>
          <w:color w:val="auto"/>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pPr>
        <w:pStyle w:val="6"/>
        <w:rPr>
          <w:rFonts w:hint="eastAsia"/>
          <w:highlight w:val="none"/>
        </w:rPr>
      </w:pPr>
    </w:p>
    <w:p>
      <w:pPr>
        <w:jc w:val="both"/>
        <w:rPr>
          <w:rFonts w:hint="eastAsia" w:ascii="宋体" w:hAnsi="宋体" w:eastAsia="宋体" w:cs="宋体"/>
          <w:b/>
          <w:bCs/>
          <w:sz w:val="24"/>
          <w:szCs w:val="24"/>
          <w:highlight w:val="none"/>
        </w:rPr>
      </w:pPr>
    </w:p>
    <w:p>
      <w:pPr>
        <w:pStyle w:val="6"/>
        <w:rPr>
          <w:rFonts w:hint="eastAsia" w:ascii="宋体" w:hAnsi="宋体" w:eastAsia="宋体" w:cs="宋体"/>
          <w:sz w:val="24"/>
          <w:szCs w:val="24"/>
          <w:highlight w:val="none"/>
        </w:rPr>
      </w:pPr>
    </w:p>
    <w:p>
      <w:pPr>
        <w:jc w:val="center"/>
        <w:rPr>
          <w:rFonts w:hint="eastAsia" w:ascii="宋体" w:hAnsi="宋体" w:eastAsia="宋体" w:cs="宋体"/>
          <w:b/>
          <w:bCs/>
          <w:sz w:val="24"/>
          <w:szCs w:val="24"/>
          <w:highlight w:val="none"/>
        </w:rPr>
      </w:pPr>
    </w:p>
    <w:p>
      <w:pPr>
        <w:pStyle w:val="18"/>
        <w:rPr>
          <w:rFonts w:hint="eastAsia"/>
          <w:b/>
          <w:bCs/>
          <w:highlight w:val="none"/>
          <w:lang w:val="en-US" w:eastAsia="zh-CN"/>
        </w:rPr>
      </w:pPr>
      <w:r>
        <w:rPr>
          <w:rFonts w:hint="eastAsia"/>
          <w:b/>
          <w:bCs/>
          <w:highlight w:val="none"/>
          <w:lang w:val="en-US" w:eastAsia="zh-CN"/>
        </w:rPr>
        <w:t>满足《中华人民共和国政府采购法》第二十二条承诺函</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pPr>
        <w:rPr>
          <w:rFonts w:hint="eastAsia"/>
          <w:highlight w:val="none"/>
          <w:lang w:val="en-US" w:eastAsia="zh-CN"/>
        </w:rPr>
      </w:pPr>
    </w:p>
    <w:p>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highlight w:val="none"/>
          <w:lang w:val="en-US" w:eastAsia="zh-CN"/>
        </w:rPr>
        <w:t xml:space="preserve">                                   </w:t>
      </w:r>
      <w:r>
        <w:rPr>
          <w:rFonts w:hint="eastAsia" w:ascii="宋体" w:hAnsi="宋体" w:eastAsia="宋体" w:cs="宋体"/>
          <w:color w:val="000000"/>
          <w:sz w:val="24"/>
          <w:szCs w:val="24"/>
          <w:highlight w:val="none"/>
          <w:lang w:val="en-US" w:eastAsia="zh-CN"/>
        </w:rPr>
        <w:t>投标人名称（公章）：</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pPr>
        <w:spacing w:line="360" w:lineRule="auto"/>
        <w:ind w:firstLine="480" w:firstLineChars="200"/>
        <w:rPr>
          <w:rFonts w:hint="default"/>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highlight w:val="none"/>
          <w:lang w:val="en-US" w:eastAsia="zh-CN"/>
        </w:rPr>
        <w:t xml:space="preserve">   </w:t>
      </w:r>
    </w:p>
    <w:p>
      <w:pPr>
        <w:spacing w:line="300" w:lineRule="auto"/>
        <w:jc w:val="center"/>
        <w:rPr>
          <w:rFonts w:hint="eastAsia" w:ascii="宋体" w:hAnsi="宋体" w:eastAsia="宋体" w:cs="宋体"/>
          <w:b/>
          <w:sz w:val="24"/>
          <w:szCs w:val="24"/>
          <w:highlight w:val="none"/>
          <w:lang w:val="en-US" w:eastAsia="zh-CN"/>
        </w:rPr>
      </w:pPr>
    </w:p>
    <w:p>
      <w:pPr>
        <w:spacing w:line="300" w:lineRule="auto"/>
        <w:jc w:val="center"/>
        <w:rPr>
          <w:rFonts w:hint="eastAsia" w:ascii="宋体" w:hAnsi="宋体" w:eastAsia="宋体" w:cs="宋体"/>
          <w:b/>
          <w:sz w:val="24"/>
          <w:szCs w:val="24"/>
          <w:highlight w:val="none"/>
          <w:lang w:val="en-US" w:eastAsia="zh-CN"/>
        </w:rPr>
      </w:pPr>
    </w:p>
    <w:p>
      <w:pPr>
        <w:spacing w:line="300" w:lineRule="auto"/>
        <w:jc w:val="both"/>
        <w:rPr>
          <w:rFonts w:hint="eastAsia" w:ascii="宋体" w:hAnsi="宋体" w:eastAsia="宋体" w:cs="宋体"/>
          <w:b/>
          <w:sz w:val="24"/>
          <w:szCs w:val="24"/>
          <w:highlight w:val="none"/>
          <w:lang w:val="en-US" w:eastAsia="zh-CN"/>
        </w:rPr>
      </w:pPr>
    </w:p>
    <w:p>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pPr>
        <w:spacing w:line="300" w:lineRule="auto"/>
        <w:jc w:val="cente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pStyle w:val="18"/>
        <w:ind w:left="0" w:leftChars="0" w:firstLine="0" w:firstLineChars="0"/>
        <w:jc w:val="center"/>
        <w:rPr>
          <w:rFonts w:hint="default"/>
          <w:b/>
          <w:bCs/>
          <w:highlight w:val="none"/>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highlight w:val="none"/>
          <w:lang w:val="en-US" w:eastAsia="zh-CN"/>
        </w:rPr>
        <w:t>信用中国查询结果</w:t>
      </w:r>
    </w:p>
    <w:p>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pPr>
        <w:spacing w:line="300" w:lineRule="auto"/>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1、报价表</w:t>
      </w:r>
    </w:p>
    <w:p>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pPr>
              <w:pStyle w:val="9"/>
              <w:spacing w:line="360" w:lineRule="auto"/>
              <w:ind w:right="150"/>
              <w:jc w:val="center"/>
              <w:rPr>
                <w:rFonts w:hint="eastAsia" w:ascii="宋体" w:hAnsi="宋体" w:eastAsia="宋体" w:cs="宋体"/>
                <w:sz w:val="24"/>
                <w:szCs w:val="24"/>
                <w:highlight w:val="none"/>
                <w:lang w:val="en-US" w:eastAsia="zh-CN"/>
              </w:rPr>
            </w:pPr>
          </w:p>
          <w:p>
            <w:pPr>
              <w:pStyle w:val="9"/>
              <w:spacing w:line="360" w:lineRule="auto"/>
              <w:ind w:right="150"/>
              <w:jc w:val="both"/>
              <w:rPr>
                <w:rFonts w:hint="default"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pPr>
              <w:pStyle w:val="9"/>
              <w:spacing w:line="240" w:lineRule="atLeast"/>
              <w:ind w:left="150" w:right="150"/>
              <w:rPr>
                <w:rFonts w:hint="eastAsia" w:ascii="宋体" w:hAnsi="宋体" w:eastAsia="宋体" w:cs="宋体"/>
                <w:sz w:val="24"/>
                <w:szCs w:val="24"/>
                <w:highlight w:val="none"/>
              </w:rPr>
            </w:pPr>
          </w:p>
          <w:p>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bl>
    <w:p>
      <w:pPr>
        <w:pStyle w:val="9"/>
        <w:tabs>
          <w:tab w:val="left" w:pos="5580"/>
        </w:tabs>
        <w:spacing w:before="120" w:line="360" w:lineRule="auto"/>
        <w:rPr>
          <w:rFonts w:hint="eastAsia" w:ascii="宋体" w:hAnsi="宋体" w:eastAsia="宋体" w:cs="宋体"/>
          <w:bCs/>
          <w:kern w:val="0"/>
          <w:sz w:val="24"/>
          <w:szCs w:val="24"/>
          <w:highlight w:val="none"/>
        </w:rPr>
      </w:pPr>
    </w:p>
    <w:p>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00" w:lineRule="auto"/>
        <w:rPr>
          <w:rFonts w:hint="eastAsia" w:ascii="宋体" w:hAnsi="宋体" w:eastAsia="宋体" w:cs="宋体"/>
          <w:sz w:val="24"/>
          <w:szCs w:val="24"/>
          <w:highlight w:val="none"/>
          <w:u w:val="single"/>
        </w:rPr>
      </w:pPr>
    </w:p>
    <w:p>
      <w:pPr>
        <w:spacing w:line="300" w:lineRule="auto"/>
        <w:rPr>
          <w:rFonts w:hint="eastAsia" w:ascii="宋体" w:hAnsi="宋体" w:eastAsia="宋体" w:cs="宋体"/>
          <w:b/>
          <w:bCs/>
          <w:sz w:val="24"/>
          <w:szCs w:val="24"/>
          <w:highlight w:val="none"/>
          <w:u w:val="single"/>
        </w:rPr>
      </w:pPr>
    </w:p>
    <w:p>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2、投标分项报价表</w:t>
      </w:r>
    </w:p>
    <w:p>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pPr>
              <w:spacing w:line="300" w:lineRule="auto"/>
              <w:rPr>
                <w:rFonts w:hint="eastAsia" w:ascii="宋体" w:hAnsi="宋体" w:eastAsia="宋体" w:cs="宋体"/>
                <w:b/>
                <w:color w:val="auto"/>
                <w:sz w:val="24"/>
                <w:highlight w:val="none"/>
              </w:rPr>
            </w:pPr>
          </w:p>
        </w:tc>
      </w:tr>
    </w:tbl>
    <w:p>
      <w:pPr>
        <w:pStyle w:val="9"/>
        <w:tabs>
          <w:tab w:val="left" w:pos="5580"/>
        </w:tabs>
        <w:spacing w:before="120" w:line="360" w:lineRule="auto"/>
        <w:rPr>
          <w:rFonts w:hint="eastAsia" w:ascii="宋体" w:hAnsi="宋体" w:eastAsia="宋体" w:cs="宋体"/>
          <w:color w:val="auto"/>
          <w:sz w:val="24"/>
          <w:szCs w:val="24"/>
          <w:highlight w:val="none"/>
          <w:lang w:eastAsia="zh-CN"/>
        </w:rPr>
      </w:pPr>
    </w:p>
    <w:p>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pPr>
        <w:pStyle w:val="6"/>
        <w:rPr>
          <w:rFonts w:hint="eastAsia"/>
          <w:highlight w:val="none"/>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pPr>
        <w:numPr>
          <w:ilvl w:val="0"/>
          <w:numId w:val="0"/>
        </w:numPr>
        <w:spacing w:line="30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技术规格偏离表</w:t>
      </w:r>
      <w:r>
        <w:rPr>
          <w:rFonts w:hint="eastAsia" w:ascii="宋体" w:hAnsi="宋体" w:eastAsia="宋体" w:cs="宋体"/>
          <w:b/>
          <w:sz w:val="24"/>
          <w:szCs w:val="24"/>
          <w:highlight w:val="none"/>
          <w:lang w:val="en-US" w:eastAsia="zh-CN"/>
        </w:rPr>
        <w:t xml:space="preserve"> </w:t>
      </w:r>
    </w:p>
    <w:p>
      <w:pPr>
        <w:pStyle w:val="18"/>
        <w:numPr>
          <w:ilvl w:val="0"/>
          <w:numId w:val="0"/>
        </w:numPr>
        <w:jc w:val="center"/>
        <w:rPr>
          <w:rFonts w:hint="eastAsia" w:ascii="宋体" w:hAnsi="宋体" w:eastAsia="宋体" w:cs="宋体"/>
          <w:b/>
          <w:sz w:val="24"/>
          <w:szCs w:val="24"/>
          <w:highlight w:val="none"/>
        </w:rPr>
      </w:pPr>
    </w:p>
    <w:p>
      <w:pPr>
        <w:pStyle w:val="18"/>
        <w:numPr>
          <w:ilvl w:val="0"/>
          <w:numId w:val="0"/>
        </w:numPr>
        <w:jc w:val="center"/>
        <w:rPr>
          <w:rFonts w:hint="eastAsia"/>
          <w:highlight w:val="none"/>
          <w:lang w:val="en-US" w:eastAsia="zh-CN"/>
        </w:rPr>
      </w:pPr>
      <w:r>
        <w:rPr>
          <w:rFonts w:hint="eastAsia" w:ascii="宋体" w:hAnsi="宋体" w:eastAsia="宋体" w:cs="宋体"/>
          <w:b/>
          <w:sz w:val="24"/>
          <w:szCs w:val="24"/>
          <w:highlight w:val="none"/>
        </w:rPr>
        <w:t>技术规格偏离表</w:t>
      </w:r>
    </w:p>
    <w:p>
      <w:pPr>
        <w:spacing w:line="300" w:lineRule="auto"/>
        <w:jc w:val="center"/>
        <w:rPr>
          <w:rFonts w:hint="eastAsia" w:ascii="宋体" w:hAnsi="宋体" w:eastAsia="宋体" w:cs="宋体"/>
          <w:b/>
          <w:sz w:val="24"/>
          <w:szCs w:val="24"/>
          <w:highlight w:val="none"/>
        </w:rPr>
      </w:pPr>
    </w:p>
    <w:p>
      <w:pPr>
        <w:spacing w:line="30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tbl>
      <w:tblPr>
        <w:tblStyle w:val="1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62"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800"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招标规格</w:t>
            </w:r>
          </w:p>
        </w:tc>
        <w:tc>
          <w:tcPr>
            <w:tcW w:w="1661"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投标规格</w:t>
            </w:r>
          </w:p>
        </w:tc>
        <w:tc>
          <w:tcPr>
            <w:tcW w:w="2744"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bl>
    <w:p>
      <w:pPr>
        <w:spacing w:line="300" w:lineRule="auto"/>
        <w:rPr>
          <w:rFonts w:hint="eastAsia" w:ascii="宋体" w:hAnsi="宋体" w:eastAsia="宋体" w:cs="宋体"/>
          <w:sz w:val="24"/>
          <w:szCs w:val="24"/>
          <w:highlight w:val="none"/>
        </w:rPr>
      </w:pPr>
    </w:p>
    <w:p>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spacing w:line="300" w:lineRule="auto"/>
        <w:ind w:firstLine="480"/>
        <w:rPr>
          <w:rFonts w:hint="eastAsia" w:ascii="宋体" w:hAnsi="宋体" w:eastAsia="宋体" w:cs="宋体"/>
          <w:sz w:val="24"/>
          <w:szCs w:val="24"/>
          <w:highlight w:val="none"/>
        </w:rPr>
      </w:pPr>
    </w:p>
    <w:p>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highlight w:val="none"/>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pPr>
        <w:spacing w:line="360" w:lineRule="auto"/>
        <w:jc w:val="center"/>
        <w:rPr>
          <w:rFonts w:hint="eastAsia" w:ascii="黑体" w:hAnsi="黑体" w:eastAsia="黑体" w:cs="黑体"/>
          <w:b w:val="0"/>
          <w:bCs/>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pStyle w:val="6"/>
        <w:rPr>
          <w:rFonts w:hint="eastAsia" w:ascii="宋体" w:hAnsi="宋体" w:eastAsia="宋体" w:cs="宋体"/>
          <w:b/>
          <w:sz w:val="24"/>
          <w:szCs w:val="24"/>
          <w:highlight w:val="none"/>
          <w:lang w:val="en-US" w:eastAsia="zh-CN"/>
        </w:rPr>
      </w:pPr>
    </w:p>
    <w:p>
      <w:pPr>
        <w:pStyle w:val="7"/>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6"/>
        <w:rPr>
          <w:rFonts w:hint="eastAsia"/>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both"/>
        <w:rPr>
          <w:rFonts w:hint="eastAsia" w:ascii="宋体" w:hAnsi="宋体" w:eastAsia="宋体" w:cs="宋体"/>
          <w:b/>
          <w:sz w:val="24"/>
          <w:szCs w:val="24"/>
          <w:highlight w:val="none"/>
          <w:lang w:val="en-US" w:eastAsia="zh-CN"/>
        </w:rPr>
      </w:pPr>
    </w:p>
    <w:p>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pPr>
        <w:pStyle w:val="23"/>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pPr>
        <w:pStyle w:val="23"/>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highlight w:val="none"/>
          <w:lang w:val="en-US" w:eastAsia="zh-CN"/>
        </w:rPr>
        <w:t>企业实力</w:t>
      </w:r>
      <w:r>
        <w:rPr>
          <w:rFonts w:hint="eastAsia" w:ascii="宋体" w:hAnsi="宋体" w:eastAsia="宋体" w:cs="宋体"/>
          <w:sz w:val="24"/>
          <w:szCs w:val="24"/>
          <w:highlight w:val="none"/>
          <w:lang w:val="en-US" w:eastAsia="zh-CN"/>
        </w:rPr>
        <w:t>；</w:t>
      </w:r>
    </w:p>
    <w:p>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lang w:val="en-US" w:eastAsia="zh-CN"/>
        </w:rPr>
        <w:t>售后服务方案</w:t>
      </w:r>
      <w:r>
        <w:rPr>
          <w:rFonts w:hint="eastAsia" w:ascii="宋体" w:hAnsi="宋体" w:eastAsia="宋体" w:cs="宋体"/>
          <w:color w:val="000000"/>
          <w:kern w:val="0"/>
          <w:sz w:val="24"/>
          <w:szCs w:val="24"/>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pPr>
        <w:pStyle w:val="6"/>
        <w:rPr>
          <w:rFonts w:hint="eastAsia" w:ascii="宋体" w:hAnsi="宋体" w:eastAsia="宋体" w:cs="宋体"/>
          <w:sz w:val="24"/>
          <w:szCs w:val="24"/>
          <w:highlight w:val="none"/>
        </w:rPr>
      </w:pPr>
    </w:p>
    <w:p>
      <w:pPr>
        <w:spacing w:line="360" w:lineRule="auto"/>
        <w:ind w:firstLine="530" w:firstLineChars="200"/>
        <w:jc w:val="both"/>
        <w:rPr>
          <w:rFonts w:hint="eastAsia" w:ascii="宋体" w:hAnsi="宋体" w:eastAsia="宋体" w:cs="宋体"/>
          <w:b/>
          <w:snapToGrid w:val="0"/>
          <w:spacing w:val="12"/>
          <w:kern w:val="0"/>
          <w:sz w:val="24"/>
          <w:szCs w:val="24"/>
          <w:highlight w:val="none"/>
        </w:rPr>
      </w:pPr>
    </w:p>
    <w:p>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4118A"/>
    <w:multiLevelType w:val="singleLevel"/>
    <w:tmpl w:val="A554118A"/>
    <w:lvl w:ilvl="0" w:tentative="0">
      <w:start w:val="1"/>
      <w:numFmt w:val="decimal"/>
      <w:suff w:val="nothing"/>
      <w:lvlText w:val="%1、"/>
      <w:lvlJc w:val="left"/>
    </w:lvl>
  </w:abstractNum>
  <w:abstractNum w:abstractNumId="1">
    <w:nsid w:val="C33A6BBE"/>
    <w:multiLevelType w:val="singleLevel"/>
    <w:tmpl w:val="C33A6BBE"/>
    <w:lvl w:ilvl="0" w:tentative="0">
      <w:start w:val="2"/>
      <w:numFmt w:val="chineseCounting"/>
      <w:suff w:val="nothing"/>
      <w:lvlText w:val="%1、"/>
      <w:lvlJc w:val="left"/>
      <w:rPr>
        <w:rFonts w:hint="eastAsia"/>
      </w:rPr>
    </w:lvl>
  </w:abstractNum>
  <w:abstractNum w:abstractNumId="2">
    <w:nsid w:val="E4E010B6"/>
    <w:multiLevelType w:val="singleLevel"/>
    <w:tmpl w:val="E4E010B6"/>
    <w:lvl w:ilvl="0" w:tentative="0">
      <w:start w:val="1"/>
      <w:numFmt w:val="decimal"/>
      <w:suff w:val="nothing"/>
      <w:lvlText w:val="%1、"/>
      <w:lvlJc w:val="left"/>
    </w:lvl>
  </w:abstractNum>
  <w:abstractNum w:abstractNumId="3">
    <w:nsid w:val="F00C39A4"/>
    <w:multiLevelType w:val="singleLevel"/>
    <w:tmpl w:val="F00C39A4"/>
    <w:lvl w:ilvl="0" w:tentative="0">
      <w:start w:val="7"/>
      <w:numFmt w:val="chineseCounting"/>
      <w:suff w:val="nothing"/>
      <w:lvlText w:val="（%1）"/>
      <w:lvlJc w:val="left"/>
      <w:rPr>
        <w:rFonts w:hint="eastAsia"/>
      </w:rPr>
    </w:lvl>
  </w:abstractNum>
  <w:abstractNum w:abstractNumId="4">
    <w:nsid w:val="23EDB088"/>
    <w:multiLevelType w:val="singleLevel"/>
    <w:tmpl w:val="23EDB088"/>
    <w:lvl w:ilvl="0" w:tentative="0">
      <w:start w:val="1"/>
      <w:numFmt w:val="decimal"/>
      <w:suff w:val="nothing"/>
      <w:lvlText w:val="（%1）"/>
      <w:lvlJc w:val="left"/>
    </w:lvl>
  </w:abstractNum>
  <w:abstractNum w:abstractNumId="5">
    <w:nsid w:val="4F5E50ED"/>
    <w:multiLevelType w:val="singleLevel"/>
    <w:tmpl w:val="4F5E50ED"/>
    <w:lvl w:ilvl="0" w:tentative="0">
      <w:start w:val="1"/>
      <w:numFmt w:val="decimal"/>
      <w:suff w:val="nothing"/>
      <w:lvlText w:val="%1、"/>
      <w:lvlJc w:val="left"/>
    </w:lvl>
  </w:abstractNum>
  <w:abstractNum w:abstractNumId="6">
    <w:nsid w:val="50B1A38D"/>
    <w:multiLevelType w:val="singleLevel"/>
    <w:tmpl w:val="50B1A38D"/>
    <w:lvl w:ilvl="0" w:tentative="0">
      <w:start w:val="1"/>
      <w:numFmt w:val="decimal"/>
      <w:lvlText w:val="%1."/>
      <w:lvlJc w:val="left"/>
      <w:pPr>
        <w:ind w:left="425" w:hanging="425"/>
      </w:pPr>
      <w:rPr>
        <w:rFonts w:hint="default"/>
      </w:rPr>
    </w:lvl>
  </w:abstractNum>
  <w:abstractNum w:abstractNumId="7">
    <w:nsid w:val="5C9E50AB"/>
    <w:multiLevelType w:val="singleLevel"/>
    <w:tmpl w:val="5C9E50AB"/>
    <w:lvl w:ilvl="0" w:tentative="0">
      <w:start w:val="1"/>
      <w:numFmt w:val="decimal"/>
      <w:suff w:val="nothing"/>
      <w:lvlText w:val="%1、"/>
      <w:lvlJc w:val="left"/>
    </w:lvl>
  </w:abstractNum>
  <w:abstractNum w:abstractNumId="8">
    <w:nsid w:val="7DDDE13F"/>
    <w:multiLevelType w:val="singleLevel"/>
    <w:tmpl w:val="7DDDE13F"/>
    <w:lvl w:ilvl="0" w:tentative="0">
      <w:start w:val="2"/>
      <w:numFmt w:val="decimal"/>
      <w:suff w:val="nothing"/>
      <w:lvlText w:val="%1、"/>
      <w:lvlJc w:val="left"/>
    </w:lvl>
  </w:abstractNum>
  <w:num w:numId="1">
    <w:abstractNumId w:val="6"/>
  </w:num>
  <w:num w:numId="2">
    <w:abstractNumId w:val="4"/>
  </w:num>
  <w:num w:numId="3">
    <w:abstractNumId w:val="1"/>
  </w:num>
  <w:num w:numId="4">
    <w:abstractNumId w:val="3"/>
  </w:num>
  <w:num w:numId="5">
    <w:abstractNumId w:val="0"/>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2E01C1"/>
    <w:rsid w:val="00557E7A"/>
    <w:rsid w:val="012D49E7"/>
    <w:rsid w:val="02447FC9"/>
    <w:rsid w:val="025D6187"/>
    <w:rsid w:val="026A00EF"/>
    <w:rsid w:val="026F5B1B"/>
    <w:rsid w:val="02A429BD"/>
    <w:rsid w:val="02E334E5"/>
    <w:rsid w:val="02E86081"/>
    <w:rsid w:val="035717DD"/>
    <w:rsid w:val="03897536"/>
    <w:rsid w:val="03C74493"/>
    <w:rsid w:val="03F97469"/>
    <w:rsid w:val="04592E9D"/>
    <w:rsid w:val="048939E6"/>
    <w:rsid w:val="04C51730"/>
    <w:rsid w:val="05104A00"/>
    <w:rsid w:val="053321C4"/>
    <w:rsid w:val="05B2182D"/>
    <w:rsid w:val="05C63938"/>
    <w:rsid w:val="05FA635A"/>
    <w:rsid w:val="06171F69"/>
    <w:rsid w:val="0676347A"/>
    <w:rsid w:val="06A82EB5"/>
    <w:rsid w:val="071A149F"/>
    <w:rsid w:val="07DE58B6"/>
    <w:rsid w:val="07E850FA"/>
    <w:rsid w:val="08217F14"/>
    <w:rsid w:val="087D783A"/>
    <w:rsid w:val="087F3AF1"/>
    <w:rsid w:val="08CC2878"/>
    <w:rsid w:val="08E80A7E"/>
    <w:rsid w:val="09405DC5"/>
    <w:rsid w:val="09413A40"/>
    <w:rsid w:val="09520DAD"/>
    <w:rsid w:val="09793822"/>
    <w:rsid w:val="09A27416"/>
    <w:rsid w:val="09AA4D5C"/>
    <w:rsid w:val="09B9389E"/>
    <w:rsid w:val="0AC90DEF"/>
    <w:rsid w:val="0ACE6829"/>
    <w:rsid w:val="0B0963D2"/>
    <w:rsid w:val="0B81389B"/>
    <w:rsid w:val="0BC91BF7"/>
    <w:rsid w:val="0BCD088E"/>
    <w:rsid w:val="0BE353DF"/>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B3964"/>
    <w:rsid w:val="0F35333C"/>
    <w:rsid w:val="0FCA5A2E"/>
    <w:rsid w:val="0FDB1AE4"/>
    <w:rsid w:val="0FF85EB5"/>
    <w:rsid w:val="10BD4A51"/>
    <w:rsid w:val="10C722AA"/>
    <w:rsid w:val="111863FF"/>
    <w:rsid w:val="113D0677"/>
    <w:rsid w:val="125178CD"/>
    <w:rsid w:val="128518DC"/>
    <w:rsid w:val="128D3011"/>
    <w:rsid w:val="12986D57"/>
    <w:rsid w:val="12A4166C"/>
    <w:rsid w:val="12D1759B"/>
    <w:rsid w:val="12D93FBD"/>
    <w:rsid w:val="13734957"/>
    <w:rsid w:val="14062CD2"/>
    <w:rsid w:val="14DC067A"/>
    <w:rsid w:val="14FA4DEC"/>
    <w:rsid w:val="152529BA"/>
    <w:rsid w:val="154D0C92"/>
    <w:rsid w:val="15826B8D"/>
    <w:rsid w:val="159D280F"/>
    <w:rsid w:val="15C72CF1"/>
    <w:rsid w:val="15F31BF6"/>
    <w:rsid w:val="16331F1D"/>
    <w:rsid w:val="16A3265C"/>
    <w:rsid w:val="17B031E4"/>
    <w:rsid w:val="17B31280"/>
    <w:rsid w:val="17C074F9"/>
    <w:rsid w:val="17EF6B49"/>
    <w:rsid w:val="18063DD0"/>
    <w:rsid w:val="18B249A7"/>
    <w:rsid w:val="18C97EE3"/>
    <w:rsid w:val="18DC1E7D"/>
    <w:rsid w:val="18FC6A89"/>
    <w:rsid w:val="198C0526"/>
    <w:rsid w:val="19CF6702"/>
    <w:rsid w:val="1A044A55"/>
    <w:rsid w:val="1A2054AF"/>
    <w:rsid w:val="1A272182"/>
    <w:rsid w:val="1A680EA2"/>
    <w:rsid w:val="1ADF2787"/>
    <w:rsid w:val="1B130C8A"/>
    <w:rsid w:val="1B8B7FBE"/>
    <w:rsid w:val="1BB71E1E"/>
    <w:rsid w:val="1BD56AE1"/>
    <w:rsid w:val="1C365FDC"/>
    <w:rsid w:val="1D3722A9"/>
    <w:rsid w:val="1D574A01"/>
    <w:rsid w:val="1DE06B47"/>
    <w:rsid w:val="1DEE0FC0"/>
    <w:rsid w:val="1DF3687A"/>
    <w:rsid w:val="1E2C3B3A"/>
    <w:rsid w:val="1E4B7FCA"/>
    <w:rsid w:val="1E644A4C"/>
    <w:rsid w:val="1F6265E9"/>
    <w:rsid w:val="1FA2386F"/>
    <w:rsid w:val="1FE94DE4"/>
    <w:rsid w:val="20000DDB"/>
    <w:rsid w:val="20146634"/>
    <w:rsid w:val="20423BBB"/>
    <w:rsid w:val="2076109D"/>
    <w:rsid w:val="20CE2B02"/>
    <w:rsid w:val="20EE6AA5"/>
    <w:rsid w:val="21B869D3"/>
    <w:rsid w:val="22274D44"/>
    <w:rsid w:val="225B2FAD"/>
    <w:rsid w:val="25536560"/>
    <w:rsid w:val="255B4D05"/>
    <w:rsid w:val="25791E25"/>
    <w:rsid w:val="258E1D00"/>
    <w:rsid w:val="258F690A"/>
    <w:rsid w:val="25DC786C"/>
    <w:rsid w:val="25DF1492"/>
    <w:rsid w:val="269428FC"/>
    <w:rsid w:val="269A0AE9"/>
    <w:rsid w:val="269B5870"/>
    <w:rsid w:val="26BA7440"/>
    <w:rsid w:val="26C630C5"/>
    <w:rsid w:val="26CF3D56"/>
    <w:rsid w:val="27177C27"/>
    <w:rsid w:val="2718776E"/>
    <w:rsid w:val="27C46AB9"/>
    <w:rsid w:val="27D72D69"/>
    <w:rsid w:val="27E3310C"/>
    <w:rsid w:val="285F1B6F"/>
    <w:rsid w:val="287A54D7"/>
    <w:rsid w:val="28D64DCE"/>
    <w:rsid w:val="29191247"/>
    <w:rsid w:val="29666EEF"/>
    <w:rsid w:val="29D16BED"/>
    <w:rsid w:val="29FC16BA"/>
    <w:rsid w:val="2A1A6F3D"/>
    <w:rsid w:val="2A656B45"/>
    <w:rsid w:val="2AC62C21"/>
    <w:rsid w:val="2B073B87"/>
    <w:rsid w:val="2B3D52C3"/>
    <w:rsid w:val="2B545D8F"/>
    <w:rsid w:val="2B8305B9"/>
    <w:rsid w:val="2BE72C93"/>
    <w:rsid w:val="2BFD486D"/>
    <w:rsid w:val="2C2649BC"/>
    <w:rsid w:val="2C534414"/>
    <w:rsid w:val="2CB8042D"/>
    <w:rsid w:val="2D154C3C"/>
    <w:rsid w:val="2D45530D"/>
    <w:rsid w:val="2E0B376C"/>
    <w:rsid w:val="2EA4276B"/>
    <w:rsid w:val="2EB63AC4"/>
    <w:rsid w:val="2EDB7436"/>
    <w:rsid w:val="2F3C1703"/>
    <w:rsid w:val="2F4933E9"/>
    <w:rsid w:val="2F914837"/>
    <w:rsid w:val="2FAD0853"/>
    <w:rsid w:val="2FDA4501"/>
    <w:rsid w:val="302D0FC7"/>
    <w:rsid w:val="309E5534"/>
    <w:rsid w:val="30DB1D8B"/>
    <w:rsid w:val="310D1F57"/>
    <w:rsid w:val="31682ABF"/>
    <w:rsid w:val="31A67308"/>
    <w:rsid w:val="31EE5089"/>
    <w:rsid w:val="3291083F"/>
    <w:rsid w:val="32A334CA"/>
    <w:rsid w:val="32CA4C22"/>
    <w:rsid w:val="32CA6A1F"/>
    <w:rsid w:val="32F8794B"/>
    <w:rsid w:val="33141D7F"/>
    <w:rsid w:val="3316226B"/>
    <w:rsid w:val="33A10688"/>
    <w:rsid w:val="33B102A6"/>
    <w:rsid w:val="34DE241A"/>
    <w:rsid w:val="35367D33"/>
    <w:rsid w:val="353D57BF"/>
    <w:rsid w:val="358E6D8B"/>
    <w:rsid w:val="364B5942"/>
    <w:rsid w:val="37866D54"/>
    <w:rsid w:val="37892E7C"/>
    <w:rsid w:val="379C7920"/>
    <w:rsid w:val="37DF6972"/>
    <w:rsid w:val="37DF75F7"/>
    <w:rsid w:val="385A2721"/>
    <w:rsid w:val="38C17F8F"/>
    <w:rsid w:val="38DB7B8C"/>
    <w:rsid w:val="3983323D"/>
    <w:rsid w:val="39AB63C9"/>
    <w:rsid w:val="39C35AE3"/>
    <w:rsid w:val="3A563FC1"/>
    <w:rsid w:val="3B074AF8"/>
    <w:rsid w:val="3B143534"/>
    <w:rsid w:val="3B7B3443"/>
    <w:rsid w:val="3B8274A1"/>
    <w:rsid w:val="3C444E6A"/>
    <w:rsid w:val="3CA75258"/>
    <w:rsid w:val="3D195018"/>
    <w:rsid w:val="3D291124"/>
    <w:rsid w:val="3D8243B7"/>
    <w:rsid w:val="3DA556F2"/>
    <w:rsid w:val="3E014244"/>
    <w:rsid w:val="3E11779E"/>
    <w:rsid w:val="3E136A06"/>
    <w:rsid w:val="3EAB2402"/>
    <w:rsid w:val="3EB66066"/>
    <w:rsid w:val="3F8F3AD1"/>
    <w:rsid w:val="3FA96941"/>
    <w:rsid w:val="3FC02324"/>
    <w:rsid w:val="3FC72940"/>
    <w:rsid w:val="40275281"/>
    <w:rsid w:val="41182C00"/>
    <w:rsid w:val="41264774"/>
    <w:rsid w:val="412A1D04"/>
    <w:rsid w:val="41366B0D"/>
    <w:rsid w:val="426C0B40"/>
    <w:rsid w:val="42856F21"/>
    <w:rsid w:val="42F32C0F"/>
    <w:rsid w:val="431C61C8"/>
    <w:rsid w:val="43624F2B"/>
    <w:rsid w:val="43854020"/>
    <w:rsid w:val="442D1DCE"/>
    <w:rsid w:val="447863BA"/>
    <w:rsid w:val="44D307F5"/>
    <w:rsid w:val="4510375A"/>
    <w:rsid w:val="4571290B"/>
    <w:rsid w:val="458A7DE2"/>
    <w:rsid w:val="467767AB"/>
    <w:rsid w:val="469F45FA"/>
    <w:rsid w:val="46DF2E10"/>
    <w:rsid w:val="47132933"/>
    <w:rsid w:val="473B5C44"/>
    <w:rsid w:val="478E75D7"/>
    <w:rsid w:val="4792100D"/>
    <w:rsid w:val="4862671A"/>
    <w:rsid w:val="48722F3C"/>
    <w:rsid w:val="48AF22C8"/>
    <w:rsid w:val="494A2E38"/>
    <w:rsid w:val="4968786D"/>
    <w:rsid w:val="49A05B3F"/>
    <w:rsid w:val="49C679BB"/>
    <w:rsid w:val="49FC1BEE"/>
    <w:rsid w:val="4AB37524"/>
    <w:rsid w:val="4AB8212E"/>
    <w:rsid w:val="4B074500"/>
    <w:rsid w:val="4B0A46D6"/>
    <w:rsid w:val="4BE876F1"/>
    <w:rsid w:val="4C2C0AFC"/>
    <w:rsid w:val="4CC34850"/>
    <w:rsid w:val="4CF24CCA"/>
    <w:rsid w:val="4D040BDB"/>
    <w:rsid w:val="4D2717ED"/>
    <w:rsid w:val="4D4B73FB"/>
    <w:rsid w:val="4D734988"/>
    <w:rsid w:val="4E035DB6"/>
    <w:rsid w:val="4E281379"/>
    <w:rsid w:val="4E833421"/>
    <w:rsid w:val="4E9F56A0"/>
    <w:rsid w:val="4EA2137A"/>
    <w:rsid w:val="4EA26C9E"/>
    <w:rsid w:val="4EC40281"/>
    <w:rsid w:val="4ED11A10"/>
    <w:rsid w:val="4EEE7786"/>
    <w:rsid w:val="4EFE2B32"/>
    <w:rsid w:val="4F0509F2"/>
    <w:rsid w:val="4F3F1C37"/>
    <w:rsid w:val="504E5535"/>
    <w:rsid w:val="50583AA6"/>
    <w:rsid w:val="507C12A5"/>
    <w:rsid w:val="50833564"/>
    <w:rsid w:val="50CA5BC7"/>
    <w:rsid w:val="5184053A"/>
    <w:rsid w:val="51912311"/>
    <w:rsid w:val="51A50967"/>
    <w:rsid w:val="51A6217F"/>
    <w:rsid w:val="51BA678C"/>
    <w:rsid w:val="51BD6A7F"/>
    <w:rsid w:val="51EE5BC4"/>
    <w:rsid w:val="526A473C"/>
    <w:rsid w:val="528A2F6F"/>
    <w:rsid w:val="52E33126"/>
    <w:rsid w:val="53413E4C"/>
    <w:rsid w:val="536C7627"/>
    <w:rsid w:val="538057B3"/>
    <w:rsid w:val="53966943"/>
    <w:rsid w:val="53D224B3"/>
    <w:rsid w:val="54550CA5"/>
    <w:rsid w:val="545E3D46"/>
    <w:rsid w:val="54600E18"/>
    <w:rsid w:val="54726FAD"/>
    <w:rsid w:val="549A44BD"/>
    <w:rsid w:val="54D10E25"/>
    <w:rsid w:val="54F142D9"/>
    <w:rsid w:val="54F835F9"/>
    <w:rsid w:val="55FB13CC"/>
    <w:rsid w:val="565673EC"/>
    <w:rsid w:val="56841434"/>
    <w:rsid w:val="56981066"/>
    <w:rsid w:val="56A73947"/>
    <w:rsid w:val="57062473"/>
    <w:rsid w:val="575870E9"/>
    <w:rsid w:val="57602064"/>
    <w:rsid w:val="57945CD1"/>
    <w:rsid w:val="57C83596"/>
    <w:rsid w:val="57FA3D33"/>
    <w:rsid w:val="58275392"/>
    <w:rsid w:val="58605E4B"/>
    <w:rsid w:val="58AA1BE6"/>
    <w:rsid w:val="58BE1257"/>
    <w:rsid w:val="58C116F7"/>
    <w:rsid w:val="58F01918"/>
    <w:rsid w:val="59350DEE"/>
    <w:rsid w:val="598649EC"/>
    <w:rsid w:val="59965D30"/>
    <w:rsid w:val="5997640D"/>
    <w:rsid w:val="599B3AEC"/>
    <w:rsid w:val="59F34F35"/>
    <w:rsid w:val="59F601F5"/>
    <w:rsid w:val="5A0407DB"/>
    <w:rsid w:val="5A6E37C2"/>
    <w:rsid w:val="5A7512E0"/>
    <w:rsid w:val="5A9D2814"/>
    <w:rsid w:val="5B114B60"/>
    <w:rsid w:val="5B292F60"/>
    <w:rsid w:val="5BDE751B"/>
    <w:rsid w:val="5BF45C14"/>
    <w:rsid w:val="5C6B34A4"/>
    <w:rsid w:val="5C7B5765"/>
    <w:rsid w:val="5CBA16BC"/>
    <w:rsid w:val="5CCB4F9D"/>
    <w:rsid w:val="5CD00A2F"/>
    <w:rsid w:val="5D041F64"/>
    <w:rsid w:val="5D0863A1"/>
    <w:rsid w:val="5D0C355F"/>
    <w:rsid w:val="5D5A4249"/>
    <w:rsid w:val="5DC07F3E"/>
    <w:rsid w:val="5DD5279F"/>
    <w:rsid w:val="5DE212E2"/>
    <w:rsid w:val="5EBB11EE"/>
    <w:rsid w:val="5EDD4ABE"/>
    <w:rsid w:val="5F36189D"/>
    <w:rsid w:val="5F5055BA"/>
    <w:rsid w:val="5F5B4F24"/>
    <w:rsid w:val="5FDD166B"/>
    <w:rsid w:val="60063D4B"/>
    <w:rsid w:val="605E0CC1"/>
    <w:rsid w:val="60D61108"/>
    <w:rsid w:val="60E97F34"/>
    <w:rsid w:val="615F1D82"/>
    <w:rsid w:val="61637BA0"/>
    <w:rsid w:val="617759A5"/>
    <w:rsid w:val="619D2126"/>
    <w:rsid w:val="61A21C17"/>
    <w:rsid w:val="61D872FF"/>
    <w:rsid w:val="624125BB"/>
    <w:rsid w:val="624E1767"/>
    <w:rsid w:val="62682E7D"/>
    <w:rsid w:val="62976675"/>
    <w:rsid w:val="62984D49"/>
    <w:rsid w:val="62AC3ECF"/>
    <w:rsid w:val="62D80E7E"/>
    <w:rsid w:val="62E76880"/>
    <w:rsid w:val="63084CBC"/>
    <w:rsid w:val="6416019A"/>
    <w:rsid w:val="6452096F"/>
    <w:rsid w:val="64DA0E25"/>
    <w:rsid w:val="657701B6"/>
    <w:rsid w:val="659D10DD"/>
    <w:rsid w:val="65CD5DB2"/>
    <w:rsid w:val="65DF5574"/>
    <w:rsid w:val="66AB1C79"/>
    <w:rsid w:val="670277A3"/>
    <w:rsid w:val="67087B42"/>
    <w:rsid w:val="67375B86"/>
    <w:rsid w:val="6751773B"/>
    <w:rsid w:val="682C6AB4"/>
    <w:rsid w:val="68392066"/>
    <w:rsid w:val="687E2D2C"/>
    <w:rsid w:val="68C07403"/>
    <w:rsid w:val="69083E29"/>
    <w:rsid w:val="69505A45"/>
    <w:rsid w:val="69BD2E65"/>
    <w:rsid w:val="69E5416A"/>
    <w:rsid w:val="69FA391B"/>
    <w:rsid w:val="6A714AFC"/>
    <w:rsid w:val="6AF64881"/>
    <w:rsid w:val="6B0B17D8"/>
    <w:rsid w:val="6B146AB5"/>
    <w:rsid w:val="6B823269"/>
    <w:rsid w:val="6BA73DCD"/>
    <w:rsid w:val="6BBF7E61"/>
    <w:rsid w:val="6BFD5C73"/>
    <w:rsid w:val="6C7B6522"/>
    <w:rsid w:val="6C9A3DF7"/>
    <w:rsid w:val="6CEF3424"/>
    <w:rsid w:val="6D0E2C88"/>
    <w:rsid w:val="6D3C1C37"/>
    <w:rsid w:val="6D4922DF"/>
    <w:rsid w:val="6D8547D9"/>
    <w:rsid w:val="6D967C55"/>
    <w:rsid w:val="6DCF0324"/>
    <w:rsid w:val="6DDB7AF5"/>
    <w:rsid w:val="6DE3183D"/>
    <w:rsid w:val="6DF57323"/>
    <w:rsid w:val="6EC47B94"/>
    <w:rsid w:val="6F851A7C"/>
    <w:rsid w:val="6FDC188B"/>
    <w:rsid w:val="6FDF5E73"/>
    <w:rsid w:val="6FE016FF"/>
    <w:rsid w:val="702847D9"/>
    <w:rsid w:val="70401CC0"/>
    <w:rsid w:val="70C41C74"/>
    <w:rsid w:val="70C46DF0"/>
    <w:rsid w:val="70DA67EF"/>
    <w:rsid w:val="71343921"/>
    <w:rsid w:val="713866FA"/>
    <w:rsid w:val="715234B1"/>
    <w:rsid w:val="718A5F31"/>
    <w:rsid w:val="71D329C4"/>
    <w:rsid w:val="71DA6389"/>
    <w:rsid w:val="71EF4807"/>
    <w:rsid w:val="71F25676"/>
    <w:rsid w:val="72426F81"/>
    <w:rsid w:val="726447C6"/>
    <w:rsid w:val="72965641"/>
    <w:rsid w:val="72EA05BA"/>
    <w:rsid w:val="73387905"/>
    <w:rsid w:val="73A5030F"/>
    <w:rsid w:val="74204941"/>
    <w:rsid w:val="74835876"/>
    <w:rsid w:val="74A7269D"/>
    <w:rsid w:val="751F2C26"/>
    <w:rsid w:val="75406B66"/>
    <w:rsid w:val="757F6362"/>
    <w:rsid w:val="759A256D"/>
    <w:rsid w:val="75C4434D"/>
    <w:rsid w:val="76486AEC"/>
    <w:rsid w:val="76C461B4"/>
    <w:rsid w:val="76E426B2"/>
    <w:rsid w:val="77534E09"/>
    <w:rsid w:val="77C41863"/>
    <w:rsid w:val="77D12B80"/>
    <w:rsid w:val="77F7346E"/>
    <w:rsid w:val="78283BA0"/>
    <w:rsid w:val="789E3E62"/>
    <w:rsid w:val="79312349"/>
    <w:rsid w:val="7940309D"/>
    <w:rsid w:val="79D63AE2"/>
    <w:rsid w:val="79EA1DDF"/>
    <w:rsid w:val="79F3553D"/>
    <w:rsid w:val="7A0F3AFD"/>
    <w:rsid w:val="7A2A5843"/>
    <w:rsid w:val="7A4C10FC"/>
    <w:rsid w:val="7A9570DF"/>
    <w:rsid w:val="7BCB7664"/>
    <w:rsid w:val="7BE02598"/>
    <w:rsid w:val="7BE5355B"/>
    <w:rsid w:val="7C1F52BA"/>
    <w:rsid w:val="7C762D47"/>
    <w:rsid w:val="7DB1547C"/>
    <w:rsid w:val="7DFA794A"/>
    <w:rsid w:val="7E3A2967"/>
    <w:rsid w:val="7E5D24DE"/>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szCs w:val="22"/>
    </w:rPr>
  </w:style>
  <w:style w:type="paragraph" w:styleId="5">
    <w:name w:val="Note Heading"/>
    <w:basedOn w:val="1"/>
    <w:next w:val="1"/>
    <w:qFormat/>
    <w:uiPriority w:val="0"/>
    <w:pPr>
      <w:jc w:val="center"/>
    </w:pPr>
    <w:rPr>
      <w:szCs w:val="24"/>
    </w:rPr>
  </w:style>
  <w:style w:type="paragraph" w:styleId="6">
    <w:name w:val="Body Text"/>
    <w:basedOn w:val="1"/>
    <w:next w:val="7"/>
    <w:qFormat/>
    <w:uiPriority w:val="0"/>
    <w:pPr>
      <w:spacing w:after="120" w:afterLines="0"/>
    </w:pPr>
  </w:style>
  <w:style w:type="paragraph" w:customStyle="1" w:styleId="7">
    <w:name w:val="_Style 2"/>
    <w:basedOn w:val="1"/>
    <w:next w:val="1"/>
    <w:qFormat/>
    <w:uiPriority w:val="0"/>
    <w:pPr>
      <w:ind w:firstLine="420" w:firstLineChars="200"/>
    </w:pPr>
  </w:style>
  <w:style w:type="paragraph" w:styleId="8">
    <w:name w:val="Body Text Indent"/>
    <w:basedOn w:val="1"/>
    <w:next w:val="1"/>
    <w:qFormat/>
    <w:uiPriority w:val="0"/>
    <w:pPr>
      <w:ind w:firstLine="640" w:firstLineChars="200"/>
    </w:pPr>
    <w:rPr>
      <w:sz w:val="32"/>
      <w:szCs w:val="24"/>
    </w:rPr>
  </w:style>
  <w:style w:type="paragraph" w:styleId="9">
    <w:name w:val="Plain Text"/>
    <w:basedOn w:val="1"/>
    <w:next w:val="10"/>
    <w:qFormat/>
    <w:uiPriority w:val="0"/>
    <w:rPr>
      <w:rFonts w:ascii="宋体" w:hAnsi="Courier New" w:cs="Times New Roman"/>
      <w:szCs w:val="21"/>
    </w:rPr>
  </w:style>
  <w:style w:type="paragraph" w:styleId="10">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1">
    <w:name w:val="Date"/>
    <w:basedOn w:val="1"/>
    <w:next w:val="1"/>
    <w:qFormat/>
    <w:uiPriority w:val="0"/>
    <w:rPr>
      <w:rFonts w:eastAsia="宋体"/>
      <w:sz w:val="21"/>
      <w:szCs w:val="20"/>
    </w:rPr>
  </w:style>
  <w:style w:type="paragraph" w:styleId="12">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paragraph" w:styleId="18">
    <w:name w:val="Body Text First Indent 2"/>
    <w:basedOn w:val="8"/>
    <w:next w:val="1"/>
    <w:qFormat/>
    <w:uiPriority w:val="0"/>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font01"/>
    <w:basedOn w:val="21"/>
    <w:qFormat/>
    <w:uiPriority w:val="0"/>
    <w:rPr>
      <w:rFonts w:hint="eastAsia" w:ascii="宋体" w:hAnsi="宋体" w:eastAsia="宋体" w:cs="宋体"/>
      <w:color w:val="000000"/>
      <w:sz w:val="22"/>
      <w:szCs w:val="22"/>
      <w:u w:val="none"/>
    </w:rPr>
  </w:style>
  <w:style w:type="character" w:customStyle="1" w:styleId="26">
    <w:name w:val="font31"/>
    <w:basedOn w:val="21"/>
    <w:qFormat/>
    <w:uiPriority w:val="0"/>
    <w:rPr>
      <w:rFonts w:hint="default" w:ascii="Calibri" w:hAnsi="Calibri" w:cs="Calibri"/>
      <w:color w:val="000000"/>
      <w:sz w:val="22"/>
      <w:szCs w:val="22"/>
      <w:u w:val="none"/>
    </w:rPr>
  </w:style>
  <w:style w:type="paragraph" w:customStyle="1" w:styleId="27">
    <w:name w:val="正文缩进11"/>
    <w:basedOn w:val="1"/>
    <w:qFormat/>
    <w:uiPriority w:val="0"/>
    <w:pPr>
      <w:ind w:firstLine="420" w:firstLineChars="200"/>
    </w:pPr>
  </w:style>
  <w:style w:type="paragraph" w:customStyle="1" w:styleId="28">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7127</Words>
  <Characters>8400</Characters>
  <Lines>0</Lines>
  <Paragraphs>0</Paragraphs>
  <TotalTime>110</TotalTime>
  <ScaleCrop>false</ScaleCrop>
  <LinksUpToDate>false</LinksUpToDate>
  <CharactersWithSpaces>8671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HP</cp:lastModifiedBy>
  <cp:lastPrinted>2025-12-12T07:47:00Z</cp:lastPrinted>
  <dcterms:modified xsi:type="dcterms:W3CDTF">2026-05-29T02:56:22Z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44AB8BDE22254C178FBB2537DF4CAC15_13</vt:lpwstr>
  </property>
  <property fmtid="{D5CDD505-2E9C-101B-9397-08002B2CF9AE}" pid="4" name="KSOTemplateDocerSaveRecord">
    <vt:lpwstr>eyJoZGlkIjoiNTA4ZmYwYWQwMjMyZGE4ZGU4MjJjY2MxOGNkNGYwZWYiLCJ1c2VySWQiOiI0MzkxNTc3MzQifQ==</vt:lpwstr>
  </property>
</Properties>
</file>