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动态心电及血压监护仪采购项目</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wcxyy-2025-004</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三</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70BB97A4">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14</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18</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3" w:hRule="atLeast"/>
        </w:trPr>
        <w:tc>
          <w:tcPr>
            <w:tcW w:w="922" w:type="dxa"/>
            <w:noWrap w:val="0"/>
            <w:vAlign w:val="center"/>
          </w:tcPr>
          <w:p w14:paraId="5C1989B9">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40EBC7B8">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1A25DE1A">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557AAB90">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3573A58A">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14</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rPr>
            </w:pPr>
            <w:r>
              <w:rPr>
                <w:rFonts w:hint="eastAsia" w:ascii="宋体" w:hAnsi="宋体" w:eastAsia="宋体" w:cs="宋体"/>
                <w:sz w:val="24"/>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528A5B5F">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w:t>
            </w:r>
            <w:bookmarkStart w:id="0" w:name="_GoBack"/>
            <w:bookmarkEnd w:id="0"/>
            <w:r>
              <w:rPr>
                <w:rFonts w:hint="eastAsia" w:ascii="宋体" w:hAnsi="宋体" w:eastAsia="宋体" w:cs="宋体"/>
                <w:sz w:val="24"/>
              </w:rPr>
              <w:t>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3月31</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2FC79DAA">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45E3B378">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CF3A44B">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083A3CDB">
      <w:pPr>
        <w:spacing w:line="500" w:lineRule="exact"/>
        <w:ind w:left="360"/>
        <w:jc w:val="center"/>
        <w:rPr>
          <w:rFonts w:hint="eastAsia" w:ascii="宋体" w:hAnsi="宋体" w:eastAsia="宋体" w:cs="宋体"/>
          <w:b/>
          <w:sz w:val="32"/>
        </w:rPr>
      </w:pP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14:paraId="6C43C410">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动态血压监护仪</w:t>
            </w:r>
          </w:p>
        </w:tc>
        <w:tc>
          <w:tcPr>
            <w:tcW w:w="1087" w:type="dxa"/>
            <w:noWrap/>
            <w:vAlign w:val="center"/>
          </w:tcPr>
          <w:p w14:paraId="2139E8A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c>
          <w:tcPr>
            <w:tcW w:w="2631"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6F84DAD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r>
      <w:tr w14:paraId="2AD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600A9D9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24小时动态心电监护仪</w:t>
            </w:r>
          </w:p>
        </w:tc>
        <w:tc>
          <w:tcPr>
            <w:tcW w:w="1087" w:type="dxa"/>
            <w:noWrap/>
            <w:vAlign w:val="center"/>
          </w:tcPr>
          <w:p w14:paraId="1C5CF3A5">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631" w:type="dxa"/>
            <w:noWrap/>
            <w:vAlign w:val="center"/>
          </w:tcPr>
          <w:p w14:paraId="2CEF954B">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54967DE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r>
      <w:tr w14:paraId="188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783AFD27">
            <w:pPr>
              <w:widowControl/>
              <w:jc w:val="center"/>
              <w:rPr>
                <w:rFonts w:hint="eastAsia" w:ascii="宋体" w:hAnsi="宋体" w:cs="宋体"/>
                <w:color w:val="000000"/>
                <w:kern w:val="0"/>
                <w:sz w:val="24"/>
              </w:rPr>
            </w:pPr>
            <w:r>
              <w:rPr>
                <w:rFonts w:hint="eastAsia" w:ascii="宋体" w:hAnsi="宋体" w:cs="宋体"/>
                <w:color w:val="000000"/>
                <w:kern w:val="0"/>
                <w:sz w:val="24"/>
              </w:rPr>
              <w:t>合  计</w:t>
            </w:r>
          </w:p>
        </w:tc>
        <w:tc>
          <w:tcPr>
            <w:tcW w:w="2666" w:type="dxa"/>
            <w:noWrap/>
            <w:vAlign w:val="center"/>
          </w:tcPr>
          <w:p w14:paraId="10338195">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14</w:t>
            </w: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14:paraId="5AA4868D">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）24小时动态心电监护仪</w:t>
      </w:r>
    </w:p>
    <w:p w14:paraId="601274A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769C33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1.外形精巧，方便受检者随身佩戴，更换电池方便。</w:t>
      </w:r>
    </w:p>
    <w:p w14:paraId="7CCE6A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rPr>
        <w:t>SD卡存储≥1G</w:t>
      </w:r>
    </w:p>
    <w:p w14:paraId="78D930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全彩LCD液晶屏幕可显示波形、电池电量、记录时间、记录状态、病人信息、事件标记、起搏状态等信息</w:t>
      </w:r>
    </w:p>
    <w:p w14:paraId="542B1F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同时支持SD卡和USB2.0高速传输、读取数据</w:t>
      </w:r>
    </w:p>
    <w:p w14:paraId="135DC2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5.具备报警提示功能，可</w:t>
      </w:r>
      <w:r>
        <w:rPr>
          <w:rFonts w:hint="eastAsia" w:ascii="宋体" w:hAnsi="宋体" w:eastAsia="宋体" w:cs="宋体"/>
          <w:sz w:val="24"/>
        </w:rPr>
        <w:t>监测记录器含有没有分析的数据</w:t>
      </w:r>
    </w:p>
    <w:p w14:paraId="40DC2A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6.具备</w:t>
      </w:r>
      <w:r>
        <w:rPr>
          <w:rFonts w:hint="eastAsia" w:ascii="宋体" w:hAnsi="宋体" w:eastAsia="宋体" w:cs="宋体"/>
          <w:sz w:val="24"/>
        </w:rPr>
        <w:t>电极脱落提示</w:t>
      </w:r>
      <w:r>
        <w:rPr>
          <w:rFonts w:hint="eastAsia" w:ascii="宋体" w:hAnsi="宋体" w:eastAsia="宋体" w:cs="宋体"/>
          <w:sz w:val="24"/>
          <w:lang w:val="en-US" w:eastAsia="zh-CN"/>
        </w:rPr>
        <w:t>功能</w:t>
      </w:r>
    </w:p>
    <w:p w14:paraId="6F37459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二、</w:t>
      </w:r>
      <w:r>
        <w:rPr>
          <w:rFonts w:hint="eastAsia" w:ascii="宋体" w:hAnsi="宋体" w:eastAsia="宋体" w:cs="宋体"/>
          <w:sz w:val="24"/>
        </w:rPr>
        <w:t>信号处理</w:t>
      </w:r>
      <w:r>
        <w:rPr>
          <w:rFonts w:hint="eastAsia" w:ascii="宋体" w:hAnsi="宋体" w:eastAsia="宋体" w:cs="宋体"/>
          <w:sz w:val="24"/>
          <w:lang w:eastAsia="zh-CN"/>
        </w:rPr>
        <w:t>：</w:t>
      </w:r>
    </w:p>
    <w:p w14:paraId="2FE3BF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频率响应：0.05～60Hz </w:t>
      </w:r>
    </w:p>
    <w:p w14:paraId="172B224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2.输入阻抗：≥20MΩ</w:t>
      </w:r>
    </w:p>
    <w:p w14:paraId="0E62CC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输入回路电流：≤0.1μA   </w:t>
      </w:r>
    </w:p>
    <w:p w14:paraId="7BE59BF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噪声电平：≤50μVp-p      </w:t>
      </w:r>
    </w:p>
    <w:p w14:paraId="6490325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共模抑制比（CMRR）：≥100dB</w:t>
      </w:r>
    </w:p>
    <w:p w14:paraId="0B4A83C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时间常数：≥3.2s                </w:t>
      </w:r>
    </w:p>
    <w:p w14:paraId="4DBF53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eastAsia="宋体" w:cs="宋体"/>
          <w:sz w:val="24"/>
        </w:rPr>
        <w:t>增益：5mm/mV、10mm/mV、20mm/mV</w:t>
      </w:r>
      <w:r>
        <w:rPr>
          <w:rFonts w:hint="eastAsia" w:ascii="宋体" w:hAnsi="宋体" w:eastAsia="宋体" w:cs="宋体"/>
          <w:sz w:val="24"/>
          <w:lang w:val="en-US" w:eastAsia="zh-CN"/>
        </w:rPr>
        <w:t>等</w:t>
      </w:r>
    </w:p>
    <w:p w14:paraId="294C74C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记录通道：</w:t>
      </w:r>
      <w:r>
        <w:rPr>
          <w:rFonts w:hint="eastAsia" w:ascii="宋体" w:hAnsi="宋体" w:eastAsia="宋体" w:cs="宋体"/>
          <w:sz w:val="24"/>
          <w:lang w:val="en-US" w:eastAsia="zh-CN"/>
        </w:rPr>
        <w:t>具备</w:t>
      </w:r>
      <w:r>
        <w:rPr>
          <w:rFonts w:hint="eastAsia" w:ascii="宋体" w:hAnsi="宋体" w:eastAsia="宋体" w:cs="宋体"/>
          <w:sz w:val="24"/>
        </w:rPr>
        <w:t>12导、3导二合一</w:t>
      </w:r>
      <w:r>
        <w:rPr>
          <w:rFonts w:hint="eastAsia" w:ascii="宋体" w:hAnsi="宋体" w:eastAsia="宋体" w:cs="宋体"/>
          <w:sz w:val="24"/>
          <w:lang w:val="en-US" w:eastAsia="zh-CN"/>
        </w:rPr>
        <w:t>功能</w:t>
      </w:r>
      <w:r>
        <w:rPr>
          <w:rFonts w:hint="eastAsia" w:ascii="宋体" w:hAnsi="宋体" w:eastAsia="宋体" w:cs="宋体"/>
          <w:sz w:val="24"/>
        </w:rPr>
        <w:t>，</w:t>
      </w:r>
      <w:r>
        <w:rPr>
          <w:rFonts w:hint="eastAsia" w:ascii="宋体" w:hAnsi="宋体" w:eastAsia="宋体" w:cs="宋体"/>
          <w:sz w:val="24"/>
          <w:lang w:val="en-US" w:eastAsia="zh-CN"/>
        </w:rPr>
        <w:t>可</w:t>
      </w:r>
      <w:r>
        <w:rPr>
          <w:rFonts w:hint="eastAsia" w:ascii="宋体" w:hAnsi="宋体" w:eastAsia="宋体" w:cs="宋体"/>
          <w:sz w:val="24"/>
        </w:rPr>
        <w:t>自动识别导联类型</w:t>
      </w:r>
      <w:r>
        <w:rPr>
          <w:rFonts w:hint="eastAsia" w:ascii="宋体" w:hAnsi="宋体" w:eastAsia="宋体" w:cs="宋体"/>
          <w:sz w:val="24"/>
          <w:lang w:eastAsia="zh-CN"/>
        </w:rPr>
        <w:t>，</w:t>
      </w:r>
      <w:r>
        <w:rPr>
          <w:rFonts w:hint="eastAsia" w:ascii="宋体" w:hAnsi="宋体" w:eastAsia="宋体" w:cs="宋体"/>
          <w:sz w:val="24"/>
        </w:rPr>
        <w:t>完成记录模式切换</w:t>
      </w:r>
      <w:r>
        <w:rPr>
          <w:rFonts w:hint="eastAsia" w:ascii="宋体" w:hAnsi="宋体" w:eastAsia="宋体" w:cs="宋体"/>
          <w:sz w:val="24"/>
          <w:lang w:eastAsia="zh-CN"/>
        </w:rPr>
        <w:t>。</w:t>
      </w:r>
      <w:r>
        <w:rPr>
          <w:rFonts w:hint="eastAsia" w:ascii="宋体" w:hAnsi="宋体" w:eastAsia="宋体" w:cs="宋体"/>
          <w:sz w:val="24"/>
        </w:rPr>
        <w:t xml:space="preserve">         </w:t>
      </w:r>
    </w:p>
    <w:p w14:paraId="707C830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记录天数：0、1、2天可调</w:t>
      </w:r>
    </w:p>
    <w:p w14:paraId="7413EDF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起搏检测：</w:t>
      </w:r>
      <w:r>
        <w:rPr>
          <w:rFonts w:hint="eastAsia" w:ascii="宋体" w:hAnsi="宋体" w:eastAsia="宋体" w:cs="宋体"/>
          <w:sz w:val="24"/>
          <w:lang w:val="en-US" w:eastAsia="zh-CN"/>
        </w:rPr>
        <w:t>具备</w:t>
      </w:r>
      <w:r>
        <w:rPr>
          <w:rFonts w:hint="eastAsia" w:ascii="宋体" w:hAnsi="宋体" w:eastAsia="宋体" w:cs="宋体"/>
          <w:sz w:val="24"/>
        </w:rPr>
        <w:t>多通道同时检测</w:t>
      </w:r>
      <w:r>
        <w:rPr>
          <w:rFonts w:hint="eastAsia" w:ascii="宋体" w:hAnsi="宋体" w:eastAsia="宋体" w:cs="宋体"/>
          <w:sz w:val="24"/>
          <w:lang w:val="en-US" w:eastAsia="zh-CN"/>
        </w:rPr>
        <w:t>功能</w:t>
      </w:r>
      <w:r>
        <w:rPr>
          <w:rFonts w:hint="eastAsia" w:ascii="宋体" w:hAnsi="宋体" w:eastAsia="宋体" w:cs="宋体"/>
          <w:sz w:val="24"/>
        </w:rPr>
        <w:t>，可识别±2mV~±200mV, 0.1~2.0ms的起搏信号</w:t>
      </w:r>
    </w:p>
    <w:p w14:paraId="0135BCA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三、</w:t>
      </w:r>
      <w:r>
        <w:rPr>
          <w:rFonts w:hint="eastAsia" w:ascii="宋体" w:hAnsi="宋体" w:eastAsia="宋体" w:cs="宋体"/>
          <w:sz w:val="24"/>
        </w:rPr>
        <w:t>分析软件</w:t>
      </w:r>
      <w:r>
        <w:rPr>
          <w:rFonts w:hint="eastAsia" w:ascii="宋体" w:hAnsi="宋体" w:eastAsia="宋体" w:cs="宋体"/>
          <w:sz w:val="24"/>
          <w:lang w:eastAsia="zh-CN"/>
        </w:rPr>
        <w:t>：</w:t>
      </w:r>
    </w:p>
    <w:p w14:paraId="7E35462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软件</w:t>
      </w:r>
      <w:r>
        <w:rPr>
          <w:rFonts w:hint="eastAsia" w:ascii="宋体" w:hAnsi="宋体" w:eastAsia="宋体" w:cs="宋体"/>
          <w:sz w:val="24"/>
          <w:lang w:val="en-US" w:eastAsia="zh-CN"/>
        </w:rPr>
        <w:t>可</w:t>
      </w:r>
      <w:r>
        <w:rPr>
          <w:rFonts w:hint="eastAsia" w:ascii="宋体" w:hAnsi="宋体" w:eastAsia="宋体" w:cs="宋体"/>
          <w:sz w:val="24"/>
        </w:rPr>
        <w:t>同时兼容3/12导联记录盒</w:t>
      </w:r>
    </w:p>
    <w:p w14:paraId="0FEE64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可自由配置软件界面工作流程</w:t>
      </w:r>
    </w:p>
    <w:p w14:paraId="4D204F6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3.可</w:t>
      </w:r>
      <w:r>
        <w:rPr>
          <w:rFonts w:hint="eastAsia" w:ascii="宋体" w:hAnsi="宋体" w:eastAsia="宋体" w:cs="宋体"/>
          <w:sz w:val="24"/>
        </w:rPr>
        <w:t>进行儿童患者的数据分析，提高分析的准确性</w:t>
      </w:r>
    </w:p>
    <w:p w14:paraId="4710B3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提供工频滤波、基线漂移滤波、低通滤波等多种滤波功能</w:t>
      </w:r>
    </w:p>
    <w:p w14:paraId="145D836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w:t>
      </w:r>
      <w:r>
        <w:rPr>
          <w:rFonts w:hint="eastAsia" w:ascii="宋体" w:hAnsi="宋体" w:eastAsia="宋体" w:cs="宋体"/>
          <w:sz w:val="24"/>
        </w:rPr>
        <w:t>自动识别各类心律失常</w:t>
      </w:r>
      <w:r>
        <w:rPr>
          <w:rFonts w:hint="eastAsia" w:ascii="宋体" w:hAnsi="宋体" w:eastAsia="宋体" w:cs="宋体"/>
          <w:sz w:val="24"/>
          <w:lang w:val="en-US" w:eastAsia="zh-CN"/>
        </w:rPr>
        <w:t>功能</w:t>
      </w:r>
      <w:r>
        <w:rPr>
          <w:rFonts w:hint="eastAsia" w:ascii="宋体" w:hAnsi="宋体" w:eastAsia="宋体" w:cs="宋体"/>
          <w:sz w:val="24"/>
        </w:rPr>
        <w:t>，可根据需要修改心律失常的自动判别参数，支持自定义心律失常事件</w:t>
      </w:r>
    </w:p>
    <w:p w14:paraId="01048AA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可自动识别正常、房早、室早、插入性室早、起搏、伪差等心拍类型，并支持不少于20种模板分类选项</w:t>
      </w:r>
    </w:p>
    <w:p w14:paraId="002748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具有模板合并和拆分功能，</w:t>
      </w:r>
      <w:r>
        <w:rPr>
          <w:rFonts w:hint="eastAsia" w:ascii="宋体" w:hAnsi="宋体" w:eastAsia="宋体" w:cs="宋体"/>
          <w:sz w:val="24"/>
          <w:lang w:val="en-US" w:eastAsia="zh-CN"/>
        </w:rPr>
        <w:t>可</w:t>
      </w:r>
      <w:r>
        <w:rPr>
          <w:rFonts w:hint="eastAsia" w:ascii="宋体" w:hAnsi="宋体" w:eastAsia="宋体" w:cs="宋体"/>
          <w:sz w:val="24"/>
        </w:rPr>
        <w:t>对编辑过的模板进行标记</w:t>
      </w:r>
    </w:p>
    <w:p w14:paraId="168067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可以提供Lorenz散点图、差值散点图、24小时散点图、小时散点图、时序散点图等多种散点图工具，支持散点图反向定位心搏操作</w:t>
      </w:r>
      <w:r>
        <w:rPr>
          <w:rFonts w:hint="eastAsia" w:ascii="宋体" w:hAnsi="宋体" w:eastAsia="宋体" w:cs="宋体"/>
          <w:sz w:val="24"/>
          <w:lang w:eastAsia="zh-CN"/>
        </w:rPr>
        <w:t>；</w:t>
      </w:r>
      <w:r>
        <w:rPr>
          <w:rFonts w:hint="eastAsia" w:ascii="宋体" w:hAnsi="宋体" w:eastAsia="宋体" w:cs="宋体"/>
          <w:sz w:val="24"/>
        </w:rPr>
        <w:t>支持任意时间段散点图显示，</w:t>
      </w:r>
      <w:r>
        <w:rPr>
          <w:rFonts w:hint="eastAsia" w:ascii="宋体" w:hAnsi="宋体" w:eastAsia="宋体" w:cs="宋体"/>
          <w:sz w:val="24"/>
          <w:lang w:val="en-US" w:eastAsia="zh-CN"/>
        </w:rPr>
        <w:t>可</w:t>
      </w:r>
      <w:r>
        <w:rPr>
          <w:rFonts w:hint="eastAsia" w:ascii="宋体" w:hAnsi="宋体" w:eastAsia="宋体" w:cs="宋体"/>
          <w:sz w:val="24"/>
        </w:rPr>
        <w:t>实现快速编辑和确认短暂房颤、短阵过速心律失常现象</w:t>
      </w:r>
    </w:p>
    <w:p w14:paraId="0DF7426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9.可</w:t>
      </w:r>
      <w:r>
        <w:rPr>
          <w:rFonts w:hint="eastAsia" w:ascii="宋体" w:hAnsi="宋体" w:eastAsia="宋体" w:cs="宋体"/>
          <w:sz w:val="24"/>
        </w:rPr>
        <w:t>提供心搏叠加窗口，具有反混淆分析功能，能根据心搏形态差异对异常心搏（特别是宽QRS波群或伪差）进行快速分辨、圈选，并加以修改</w:t>
      </w:r>
    </w:p>
    <w:p w14:paraId="6B5EE97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 xml:space="preserve"> </w:t>
      </w:r>
      <w:r>
        <w:rPr>
          <w:rFonts w:hint="eastAsia" w:ascii="宋体" w:hAnsi="宋体" w:eastAsia="宋体" w:cs="宋体"/>
          <w:sz w:val="24"/>
          <w:lang w:val="en-US" w:eastAsia="zh-CN"/>
        </w:rPr>
        <w:t>可</w:t>
      </w:r>
      <w:r>
        <w:rPr>
          <w:rFonts w:hint="eastAsia" w:ascii="宋体" w:hAnsi="宋体" w:eastAsia="宋体" w:cs="宋体"/>
          <w:sz w:val="24"/>
        </w:rPr>
        <w:t>同屏显示所选模板的散点图+叠加图，同时结合RR间期和波形形态实现心拍的快速分类</w:t>
      </w:r>
    </w:p>
    <w:p w14:paraId="7296F88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可以提供R-R间期、R-V间期、R-R提前量、R-V提前量、RR间期比、起搏到起搏等多种常用分布直方图分析工具</w:t>
      </w:r>
    </w:p>
    <w:p w14:paraId="6F359A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12.具备</w:t>
      </w:r>
      <w:r>
        <w:rPr>
          <w:rFonts w:hint="eastAsia" w:ascii="宋体" w:hAnsi="宋体" w:eastAsia="宋体" w:cs="宋体"/>
          <w:sz w:val="24"/>
        </w:rPr>
        <w:t>一键自动检测房颤/房扑，列表显示房颤/房扑发生的时间、持续时间等，支持对房颤/房扑事件的手动修改</w:t>
      </w:r>
    </w:p>
    <w:p w14:paraId="51A962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13.</w:t>
      </w:r>
      <w:r>
        <w:rPr>
          <w:rFonts w:hint="eastAsia" w:ascii="宋体" w:hAnsi="宋体" w:eastAsia="宋体" w:cs="宋体"/>
          <w:sz w:val="24"/>
        </w:rPr>
        <w:t>软件支持对全导联ST段抬高、压低情况进行自动列表统计，并显示ST段变化的趋势，</w:t>
      </w:r>
      <w:r>
        <w:rPr>
          <w:rFonts w:hint="eastAsia" w:ascii="宋体" w:hAnsi="宋体" w:eastAsia="宋体" w:cs="宋体"/>
          <w:sz w:val="24"/>
          <w:lang w:val="en-US" w:eastAsia="zh-CN"/>
        </w:rPr>
        <w:t>可</w:t>
      </w:r>
      <w:r>
        <w:rPr>
          <w:rFonts w:hint="eastAsia" w:ascii="宋体" w:hAnsi="宋体" w:eastAsia="宋体" w:cs="宋体"/>
          <w:sz w:val="24"/>
        </w:rPr>
        <w:t>查找各个时间点心电图和ST段变化；可手动修改/添加/删除ST事件；支持单独界面的ST段重分析操作</w:t>
      </w:r>
      <w:r>
        <w:rPr>
          <w:rFonts w:hint="eastAsia" w:ascii="宋体" w:hAnsi="宋体" w:eastAsia="宋体" w:cs="宋体"/>
          <w:sz w:val="24"/>
          <w:lang w:eastAsia="zh-CN"/>
        </w:rPr>
        <w:t>。</w:t>
      </w:r>
    </w:p>
    <w:p w14:paraId="2C4E24F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14.可</w:t>
      </w:r>
      <w:r>
        <w:rPr>
          <w:rFonts w:hint="eastAsia" w:ascii="宋体" w:hAnsi="宋体" w:eastAsia="宋体" w:cs="宋体"/>
          <w:sz w:val="24"/>
        </w:rPr>
        <w:t>多通道采集起搏器脉冲信号，并可对AOO、VOO、AAI、VVI、DDD等十六种起搏器进行分析</w:t>
      </w:r>
    </w:p>
    <w:p w14:paraId="28EC453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15.可</w:t>
      </w:r>
      <w:r>
        <w:rPr>
          <w:rFonts w:hint="eastAsia" w:ascii="宋体" w:hAnsi="宋体" w:eastAsia="宋体" w:cs="宋体"/>
          <w:sz w:val="24"/>
        </w:rPr>
        <w:t>从R-R间期散点图、时域趋势图、频域趋势图、时域趋势表、频域趋势表、长时程心率变异、心率变异三维图、心律减速力等多个方面进行分析</w:t>
      </w:r>
    </w:p>
    <w:p w14:paraId="509ED6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可提供QT趋表、QT直方图、QT离散度等多种分析工具</w:t>
      </w:r>
    </w:p>
    <w:p w14:paraId="2A146FBC">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cs="宋体"/>
          <w:b/>
          <w:bCs/>
          <w:sz w:val="24"/>
          <w:lang w:val="en-US" w:eastAsia="zh-CN"/>
        </w:rPr>
        <w:t>二</w:t>
      </w:r>
      <w:r>
        <w:rPr>
          <w:rFonts w:hint="eastAsia" w:ascii="宋体" w:hAnsi="宋体" w:eastAsia="宋体" w:cs="宋体"/>
          <w:b/>
          <w:bCs/>
          <w:sz w:val="24"/>
          <w:lang w:eastAsia="zh-CN"/>
        </w:rPr>
        <w:t>）动态血压监护仪</w:t>
      </w:r>
    </w:p>
    <w:p w14:paraId="1B89CE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407176D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外形精巧，方便受检者</w:t>
      </w:r>
      <w:r>
        <w:rPr>
          <w:rFonts w:hint="eastAsia" w:ascii="宋体" w:hAnsi="宋体" w:eastAsia="宋体" w:cs="宋体"/>
          <w:sz w:val="24"/>
          <w:lang w:val="en-US" w:eastAsia="zh-CN"/>
        </w:rPr>
        <w:t>随身</w:t>
      </w:r>
      <w:r>
        <w:rPr>
          <w:rFonts w:hint="eastAsia" w:ascii="宋体" w:hAnsi="宋体" w:eastAsia="宋体" w:cs="宋体"/>
          <w:sz w:val="24"/>
        </w:rPr>
        <w:t>佩戴</w:t>
      </w:r>
      <w:r>
        <w:rPr>
          <w:rFonts w:hint="eastAsia" w:ascii="宋体" w:hAnsi="宋体" w:eastAsia="宋体" w:cs="宋体"/>
          <w:sz w:val="24"/>
          <w:lang w:eastAsia="zh-CN"/>
        </w:rPr>
        <w:t>，</w:t>
      </w:r>
      <w:r>
        <w:rPr>
          <w:rFonts w:hint="eastAsia" w:ascii="宋体" w:hAnsi="宋体" w:eastAsia="宋体" w:cs="宋体"/>
          <w:sz w:val="24"/>
          <w:lang w:val="en-US" w:eastAsia="zh-CN"/>
        </w:rPr>
        <w:t>更换电池方便。</w:t>
      </w:r>
    </w:p>
    <w:p w14:paraId="0A14842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LED彩色屏幕显示，能够清晰显示时间、电池电量、脉率、事件记录及血压测量数据等信息</w:t>
      </w:r>
    </w:p>
    <w:p w14:paraId="577B70E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防水等级：IP22</w:t>
      </w:r>
      <w:r>
        <w:rPr>
          <w:rFonts w:hint="eastAsia" w:ascii="宋体" w:hAnsi="宋体" w:cs="宋体"/>
          <w:sz w:val="24"/>
          <w:lang w:val="en-US" w:eastAsia="zh-CN"/>
        </w:rPr>
        <w:t>或以上</w:t>
      </w:r>
      <w:r>
        <w:rPr>
          <w:rFonts w:hint="eastAsia" w:ascii="宋体" w:hAnsi="宋体" w:eastAsia="宋体" w:cs="宋体"/>
          <w:sz w:val="24"/>
        </w:rPr>
        <w:t>防水等级</w:t>
      </w:r>
    </w:p>
    <w:p w14:paraId="36E9360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支持事件记录功能，可结合事件记录对血压数据进行分析</w:t>
      </w:r>
    </w:p>
    <w:p w14:paraId="02AA301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支持体位记录功能，</w:t>
      </w:r>
      <w:r>
        <w:rPr>
          <w:rFonts w:hint="eastAsia" w:ascii="宋体" w:hAnsi="宋体" w:eastAsia="宋体" w:cs="宋体"/>
          <w:sz w:val="24"/>
          <w:lang w:val="en-US" w:eastAsia="zh-CN"/>
        </w:rPr>
        <w:t>可</w:t>
      </w:r>
      <w:r>
        <w:rPr>
          <w:rFonts w:hint="eastAsia" w:ascii="宋体" w:hAnsi="宋体" w:eastAsia="宋体" w:cs="宋体"/>
          <w:sz w:val="24"/>
        </w:rPr>
        <w:t>辅助临床判断患者血压测量时的体位情况</w:t>
      </w:r>
    </w:p>
    <w:p w14:paraId="0B7BBC3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数据存储器：闪存储存，至少可存储450组数据</w:t>
      </w:r>
    </w:p>
    <w:p w14:paraId="2DAE548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二、测量范围</w:t>
      </w:r>
    </w:p>
    <w:p w14:paraId="61B6DFE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测量方法：</w:t>
      </w:r>
      <w:r>
        <w:rPr>
          <w:rFonts w:hint="eastAsia" w:ascii="宋体" w:hAnsi="宋体" w:eastAsia="宋体" w:cs="宋体"/>
          <w:sz w:val="24"/>
          <w:lang w:val="en-US" w:eastAsia="zh-CN"/>
        </w:rPr>
        <w:t>包括但不限于</w:t>
      </w:r>
      <w:r>
        <w:rPr>
          <w:rFonts w:hint="eastAsia" w:ascii="宋体" w:hAnsi="宋体" w:eastAsia="宋体" w:cs="宋体"/>
          <w:sz w:val="24"/>
        </w:rPr>
        <w:t>示波法</w:t>
      </w:r>
    </w:p>
    <w:p w14:paraId="2273C1D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量程：0 mmHg~300 mmHg，精度：</w:t>
      </w:r>
      <w:r>
        <w:rPr>
          <w:rFonts w:hint="eastAsia" w:ascii="宋体" w:hAnsi="宋体" w:eastAsia="宋体" w:cs="宋体"/>
          <w:sz w:val="24"/>
          <w:lang w:val="en-US" w:eastAsia="zh-CN"/>
        </w:rPr>
        <w:t>≤</w:t>
      </w:r>
      <w:r>
        <w:rPr>
          <w:rFonts w:hint="eastAsia" w:ascii="宋体" w:hAnsi="宋体" w:eastAsia="宋体" w:cs="宋体"/>
          <w:sz w:val="24"/>
        </w:rPr>
        <w:t>±3 mmHg</w:t>
      </w:r>
    </w:p>
    <w:p w14:paraId="38C0EC3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压力测量范围：10 mmHg~290 mmHg</w:t>
      </w:r>
    </w:p>
    <w:p w14:paraId="577FD5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脉率测量范围：40 bpm~240 bpm</w:t>
      </w:r>
    </w:p>
    <w:p w14:paraId="23D30A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监测时长：≥24小时</w:t>
      </w:r>
    </w:p>
    <w:p w14:paraId="2CAE2CC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监测间隔：5分钟、10分钟、15分钟、20分钟、30分钟、45分钟、60分钟、90分钟、120分钟</w:t>
      </w:r>
      <w:r>
        <w:rPr>
          <w:rFonts w:hint="eastAsia" w:ascii="宋体" w:hAnsi="宋体" w:eastAsia="宋体" w:cs="宋体"/>
          <w:sz w:val="24"/>
          <w:lang w:val="en-US" w:eastAsia="zh-CN"/>
        </w:rPr>
        <w:t>等</w:t>
      </w:r>
    </w:p>
    <w:p w14:paraId="1C998ED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安全系统：最大充气气压</w:t>
      </w:r>
      <w:r>
        <w:rPr>
          <w:rFonts w:hint="eastAsia" w:ascii="宋体" w:hAnsi="宋体" w:eastAsia="宋体" w:cs="宋体"/>
          <w:sz w:val="24"/>
          <w:lang w:val="en-US" w:eastAsia="zh-CN"/>
        </w:rPr>
        <w:t>≥</w:t>
      </w:r>
      <w:r>
        <w:rPr>
          <w:rFonts w:hint="eastAsia" w:ascii="宋体" w:hAnsi="宋体" w:eastAsia="宋体" w:cs="宋体"/>
          <w:sz w:val="24"/>
        </w:rPr>
        <w:t>300 mmHg，最大测量时常</w:t>
      </w:r>
      <w:r>
        <w:rPr>
          <w:rFonts w:hint="eastAsia" w:ascii="宋体" w:hAnsi="宋体" w:eastAsia="宋体" w:cs="宋体"/>
          <w:sz w:val="24"/>
          <w:lang w:val="en-US" w:eastAsia="zh-CN"/>
        </w:rPr>
        <w:t>≤</w:t>
      </w:r>
      <w:r>
        <w:rPr>
          <w:rFonts w:hint="eastAsia" w:ascii="宋体" w:hAnsi="宋体" w:eastAsia="宋体" w:cs="宋体"/>
          <w:sz w:val="24"/>
        </w:rPr>
        <w:t>120 s</w:t>
      </w:r>
    </w:p>
    <w:p w14:paraId="1E34788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三、分析软件</w:t>
      </w:r>
    </w:p>
    <w:p w14:paraId="6938A93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能够自动生成解释性总结，提供诊断术语库，</w:t>
      </w:r>
      <w:r>
        <w:rPr>
          <w:rFonts w:hint="eastAsia" w:ascii="宋体" w:hAnsi="宋体" w:eastAsia="宋体" w:cs="宋体"/>
          <w:sz w:val="24"/>
          <w:lang w:val="en-US" w:eastAsia="zh-CN"/>
        </w:rPr>
        <w:t>可</w:t>
      </w:r>
      <w:r>
        <w:rPr>
          <w:rFonts w:hint="eastAsia" w:ascii="宋体" w:hAnsi="宋体" w:eastAsia="宋体" w:cs="宋体"/>
          <w:sz w:val="24"/>
        </w:rPr>
        <w:t>快速编写诊断结论</w:t>
      </w:r>
      <w:r>
        <w:rPr>
          <w:rFonts w:hint="eastAsia" w:ascii="宋体" w:hAnsi="宋体" w:eastAsia="宋体" w:cs="宋体"/>
          <w:sz w:val="24"/>
          <w:lang w:eastAsia="zh-CN"/>
        </w:rPr>
        <w:t>。</w:t>
      </w:r>
    </w:p>
    <w:p w14:paraId="4A12DBB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具有智能检索功能，支持病例快速查找</w:t>
      </w:r>
      <w:r>
        <w:rPr>
          <w:rFonts w:hint="eastAsia" w:ascii="宋体" w:hAnsi="宋体" w:eastAsia="宋体" w:cs="宋体"/>
          <w:sz w:val="24"/>
          <w:lang w:val="en-US" w:eastAsia="zh-CN"/>
        </w:rPr>
        <w:t>功能</w:t>
      </w:r>
    </w:p>
    <w:p w14:paraId="0311CED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具有数据表、统计表、直方图、饼图、昼夜节律图等分析工具</w:t>
      </w:r>
      <w:r>
        <w:rPr>
          <w:rFonts w:hint="eastAsia" w:ascii="宋体" w:hAnsi="宋体" w:eastAsia="宋体" w:cs="宋体"/>
          <w:sz w:val="24"/>
          <w:lang w:eastAsia="zh-CN"/>
        </w:rPr>
        <w:t>。</w:t>
      </w:r>
    </w:p>
    <w:p w14:paraId="5C57649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支持平均压、测量比较功能、脉压分析、动态动脉硬化指数分析、晨峰血压分析、白大衣分析</w:t>
      </w:r>
      <w:r>
        <w:rPr>
          <w:rFonts w:hint="eastAsia" w:ascii="宋体" w:hAnsi="宋体" w:eastAsia="宋体" w:cs="宋体"/>
          <w:sz w:val="24"/>
          <w:lang w:val="en-US" w:eastAsia="zh-CN"/>
        </w:rPr>
        <w:t>等功能。</w:t>
      </w:r>
    </w:p>
    <w:p w14:paraId="33AF7E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支持血压波形记录功能</w:t>
      </w:r>
      <w:r>
        <w:rPr>
          <w:rFonts w:hint="eastAsia" w:ascii="宋体" w:hAnsi="宋体" w:eastAsia="宋体" w:cs="宋体"/>
          <w:sz w:val="24"/>
          <w:lang w:eastAsia="zh-CN"/>
        </w:rPr>
        <w:t>。</w:t>
      </w:r>
    </w:p>
    <w:p w14:paraId="721E4AD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可查看收缩压和舒张压相关性，查看全部和部分相关图，数据范围可支持总体、白天、夜间</w:t>
      </w:r>
    </w:p>
    <w:p w14:paraId="7525F9A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可</w:t>
      </w:r>
      <w:r>
        <w:rPr>
          <w:rFonts w:hint="eastAsia" w:ascii="宋体" w:hAnsi="宋体" w:eastAsia="宋体" w:cs="宋体"/>
          <w:sz w:val="24"/>
        </w:rPr>
        <w:t>提供病人信息、管理列表、报告内容自定义配置</w:t>
      </w:r>
      <w:r>
        <w:rPr>
          <w:rFonts w:hint="eastAsia" w:ascii="宋体" w:hAnsi="宋体" w:eastAsia="宋体" w:cs="宋体"/>
          <w:sz w:val="24"/>
          <w:lang w:val="en-US" w:eastAsia="zh-CN"/>
        </w:rPr>
        <w:t>功能</w:t>
      </w:r>
    </w:p>
    <w:p w14:paraId="45B2264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可以编辑、存储、打印病人的血压、数据表、直方图、饼图、昼夜节律图等信息</w:t>
      </w:r>
    </w:p>
    <w:p w14:paraId="0D4B7DE9">
      <w:pPr>
        <w:rPr>
          <w:rFonts w:hint="eastAsia"/>
          <w:lang w:eastAsia="zh-CN"/>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4B4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45CDEE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655AF2A4">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41FCC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3CA2FCD">
            <w:pPr>
              <w:jc w:val="center"/>
              <w:rPr>
                <w:rFonts w:hint="eastAsia" w:ascii="宋体" w:hAnsi="宋体" w:cs="宋体"/>
                <w:color w:val="auto"/>
                <w:sz w:val="24"/>
                <w:szCs w:val="24"/>
                <w:highlight w:val="none"/>
                <w:lang w:val="en-US" w:eastAsia="zh-CN"/>
              </w:rPr>
            </w:pPr>
          </w:p>
        </w:tc>
      </w:tr>
      <w:tr w14:paraId="6FA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637FB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382CA0E7">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2B8AEE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A05280F">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D061BE9">
      <w:pPr>
        <w:widowControl w:val="0"/>
        <w:numPr>
          <w:ilvl w:val="0"/>
          <w:numId w:val="0"/>
        </w:numPr>
        <w:spacing w:line="500" w:lineRule="exact"/>
        <w:jc w:val="both"/>
        <w:rPr>
          <w:rFonts w:hint="eastAsia" w:ascii="宋体" w:hAnsi="宋体" w:eastAsia="宋体" w:cs="宋体"/>
          <w:sz w:val="24"/>
        </w:rPr>
      </w:pPr>
    </w:p>
    <w:p w14:paraId="158D1472">
      <w:pPr>
        <w:widowControl w:val="0"/>
        <w:numPr>
          <w:ilvl w:val="0"/>
          <w:numId w:val="0"/>
        </w:numPr>
        <w:spacing w:line="500" w:lineRule="exact"/>
        <w:jc w:val="both"/>
        <w:rPr>
          <w:rFonts w:hint="eastAsia" w:ascii="宋体" w:hAnsi="宋体" w:eastAsia="宋体" w:cs="宋体"/>
          <w:sz w:val="24"/>
        </w:rPr>
      </w:pPr>
    </w:p>
    <w:p w14:paraId="0ED224DD">
      <w:pPr>
        <w:widowControl w:val="0"/>
        <w:numPr>
          <w:ilvl w:val="0"/>
          <w:numId w:val="0"/>
        </w:numPr>
        <w:spacing w:line="500" w:lineRule="exact"/>
        <w:jc w:val="both"/>
        <w:rPr>
          <w:rFonts w:hint="eastAsia" w:ascii="宋体" w:hAnsi="宋体" w:eastAsia="宋体" w:cs="宋体"/>
          <w:sz w:val="24"/>
        </w:rPr>
      </w:pPr>
    </w:p>
    <w:p w14:paraId="6E684632">
      <w:pPr>
        <w:widowControl w:val="0"/>
        <w:numPr>
          <w:ilvl w:val="0"/>
          <w:numId w:val="0"/>
        </w:numPr>
        <w:spacing w:line="500" w:lineRule="exact"/>
        <w:jc w:val="both"/>
        <w:rPr>
          <w:rFonts w:hint="eastAsia" w:ascii="宋体" w:hAnsi="宋体" w:eastAsia="宋体" w:cs="宋体"/>
          <w:sz w:val="24"/>
        </w:rPr>
      </w:pP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评分项目</w:t>
            </w:r>
          </w:p>
        </w:tc>
        <w:tc>
          <w:tcPr>
            <w:tcW w:w="705"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highlight w:val="none"/>
              </w:rPr>
            </w:pPr>
          </w:p>
        </w:tc>
        <w:tc>
          <w:tcPr>
            <w:tcW w:w="0" w:type="auto"/>
            <w:vMerge w:val="continue"/>
            <w:noWrap w:val="0"/>
            <w:vAlign w:val="center"/>
          </w:tcPr>
          <w:p w14:paraId="6CB086C9">
            <w:pPr>
              <w:widowControl/>
              <w:jc w:val="left"/>
              <w:rPr>
                <w:rFonts w:ascii="宋体" w:hAnsi="宋体" w:cs="宋体"/>
                <w:kern w:val="0"/>
                <w:sz w:val="24"/>
                <w:highlight w:val="none"/>
              </w:rPr>
            </w:pPr>
          </w:p>
        </w:tc>
        <w:tc>
          <w:tcPr>
            <w:tcW w:w="0" w:type="auto"/>
            <w:vMerge w:val="continue"/>
            <w:noWrap w:val="0"/>
            <w:vAlign w:val="center"/>
          </w:tcPr>
          <w:p w14:paraId="7EBDB8CF">
            <w:pPr>
              <w:widowControl/>
              <w:jc w:val="left"/>
              <w:rPr>
                <w:rFonts w:ascii="宋体" w:hAnsi="宋体" w:cs="宋体"/>
                <w:kern w:val="0"/>
                <w:sz w:val="24"/>
                <w:highlight w:val="none"/>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highlight w:val="none"/>
              </w:rPr>
            </w:pPr>
            <w:r>
              <w:rPr>
                <w:rFonts w:hint="eastAsia" w:ascii="宋体" w:hAnsi="宋体" w:cs="宋体"/>
                <w:kern w:val="0"/>
                <w:sz w:val="24"/>
                <w:highlight w:val="none"/>
              </w:rPr>
              <w:t>投标报价</w:t>
            </w:r>
          </w:p>
        </w:tc>
        <w:tc>
          <w:tcPr>
            <w:tcW w:w="705" w:type="dxa"/>
            <w:noWrap w:val="0"/>
            <w:tcMar>
              <w:top w:w="0" w:type="dxa"/>
              <w:left w:w="105" w:type="dxa"/>
              <w:bottom w:w="0" w:type="dxa"/>
              <w:right w:w="105" w:type="dxa"/>
            </w:tcMar>
            <w:vAlign w:val="center"/>
          </w:tcPr>
          <w:p w14:paraId="0B9A030F">
            <w:pPr>
              <w:widowControl/>
              <w:spacing w:before="150" w:after="150" w:line="360"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30</w:t>
            </w:r>
          </w:p>
        </w:tc>
        <w:tc>
          <w:tcPr>
            <w:tcW w:w="4680"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highlight w:val="none"/>
                <w:lang w:val="en-US" w:eastAsia="zh-CN"/>
              </w:rPr>
              <w:t>30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highlight w:val="none"/>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货物规格参数</w:t>
            </w:r>
          </w:p>
        </w:tc>
        <w:tc>
          <w:tcPr>
            <w:tcW w:w="705" w:type="dxa"/>
            <w:noWrap w:val="0"/>
            <w:tcMar>
              <w:top w:w="0" w:type="dxa"/>
              <w:left w:w="105" w:type="dxa"/>
              <w:bottom w:w="0" w:type="dxa"/>
              <w:right w:w="105" w:type="dxa"/>
            </w:tcMar>
            <w:vAlign w:val="center"/>
          </w:tcPr>
          <w:p w14:paraId="476EF499">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30</w:t>
            </w:r>
          </w:p>
        </w:tc>
        <w:tc>
          <w:tcPr>
            <w:tcW w:w="4680" w:type="dxa"/>
            <w:noWrap w:val="0"/>
            <w:tcMar>
              <w:top w:w="0" w:type="dxa"/>
              <w:left w:w="105" w:type="dxa"/>
              <w:bottom w:w="0" w:type="dxa"/>
              <w:right w:w="105" w:type="dxa"/>
            </w:tcMar>
            <w:vAlign w:val="center"/>
          </w:tcPr>
          <w:p w14:paraId="438C90E7">
            <w:pPr>
              <w:widowControl/>
              <w:spacing w:line="315" w:lineRule="atLeast"/>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满足各项技术指标评价，得满分</w:t>
            </w:r>
            <w:r>
              <w:rPr>
                <w:rFonts w:hint="eastAsia" w:ascii="宋体" w:hAnsi="宋体" w:cs="宋体"/>
                <w:kern w:val="0"/>
                <w:sz w:val="24"/>
                <w:highlight w:val="none"/>
                <w:lang w:val="en-US" w:eastAsia="zh-CN"/>
              </w:rPr>
              <w:t>30</w:t>
            </w:r>
            <w:r>
              <w:rPr>
                <w:rFonts w:hint="eastAsia" w:ascii="宋体" w:hAnsi="宋体" w:cs="宋体"/>
                <w:kern w:val="0"/>
                <w:sz w:val="24"/>
                <w:highlight w:val="none"/>
              </w:rPr>
              <w:t>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分，最低得分为零0分。</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highlight w:val="none"/>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技术先进性和可靠性</w:t>
            </w:r>
          </w:p>
        </w:tc>
        <w:tc>
          <w:tcPr>
            <w:tcW w:w="705" w:type="dxa"/>
            <w:noWrap w:val="0"/>
            <w:tcMar>
              <w:top w:w="0" w:type="dxa"/>
              <w:left w:w="105" w:type="dxa"/>
              <w:bottom w:w="0" w:type="dxa"/>
              <w:right w:w="105" w:type="dxa"/>
            </w:tcMar>
            <w:vAlign w:val="center"/>
          </w:tcPr>
          <w:p w14:paraId="773C0244">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20</w:t>
            </w:r>
          </w:p>
        </w:tc>
        <w:tc>
          <w:tcPr>
            <w:tcW w:w="4680" w:type="dxa"/>
            <w:noWrap w:val="0"/>
            <w:tcMar>
              <w:top w:w="0" w:type="dxa"/>
              <w:left w:w="105" w:type="dxa"/>
              <w:bottom w:w="0" w:type="dxa"/>
              <w:right w:w="105" w:type="dxa"/>
            </w:tcMar>
            <w:vAlign w:val="center"/>
          </w:tcPr>
          <w:p w14:paraId="5DB9EFE2">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0分；技术较先进的得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highlight w:val="none"/>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highlight w:val="none"/>
              </w:rPr>
            </w:pPr>
            <w:r>
              <w:rPr>
                <w:rFonts w:hint="eastAsia" w:ascii="宋体" w:hAnsi="宋体" w:cs="宋体"/>
                <w:kern w:val="0"/>
                <w:sz w:val="24"/>
                <w:highlight w:val="none"/>
              </w:rPr>
              <w:t>售后服务</w:t>
            </w:r>
          </w:p>
        </w:tc>
        <w:tc>
          <w:tcPr>
            <w:tcW w:w="705"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20</w:t>
            </w:r>
          </w:p>
        </w:tc>
        <w:tc>
          <w:tcPr>
            <w:tcW w:w="4680"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1、在本地、市、省一级有专职维修人员分别得5、3、1分</w:t>
            </w:r>
          </w:p>
          <w:p w14:paraId="29B75188">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2、可免费提供所用软件及相关联软件升级。 10分</w:t>
            </w:r>
          </w:p>
          <w:p w14:paraId="2809ACA9">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3、故障响应时间为2小时内</w:t>
            </w:r>
            <w:r>
              <w:rPr>
                <w:rFonts w:hint="eastAsia" w:ascii="宋体" w:hAnsi="宋体" w:cs="宋体"/>
                <w:kern w:val="0"/>
                <w:sz w:val="24"/>
                <w:highlight w:val="none"/>
                <w:lang w:val="en-US" w:eastAsia="zh-CN"/>
              </w:rPr>
              <w:t>得3分；</w:t>
            </w:r>
            <w:r>
              <w:rPr>
                <w:rFonts w:hint="eastAsia" w:ascii="宋体" w:hAnsi="宋体" w:cs="宋体"/>
                <w:kern w:val="0"/>
                <w:sz w:val="24"/>
                <w:highlight w:val="none"/>
              </w:rPr>
              <w:t>对科室人员提供技术培训</w:t>
            </w:r>
            <w:r>
              <w:rPr>
                <w:rFonts w:hint="eastAsia" w:ascii="宋体" w:hAnsi="宋体" w:cs="宋体"/>
                <w:kern w:val="0"/>
                <w:sz w:val="24"/>
                <w:highlight w:val="none"/>
                <w:lang w:val="en-US" w:eastAsia="zh-CN"/>
              </w:rPr>
              <w:t>得2</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highlight w:val="none"/>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highlight w:val="none"/>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highlight w:val="none"/>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合计</w:t>
            </w:r>
          </w:p>
        </w:tc>
        <w:tc>
          <w:tcPr>
            <w:tcW w:w="705"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highlight w:val="none"/>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highlight w:val="none"/>
              </w:rPr>
            </w:pPr>
          </w:p>
        </w:tc>
        <w:tc>
          <w:tcPr>
            <w:tcW w:w="990" w:type="dxa"/>
            <w:noWrap w:val="0"/>
            <w:vAlign w:val="center"/>
          </w:tcPr>
          <w:p w14:paraId="52705100">
            <w:pPr>
              <w:widowControl/>
              <w:jc w:val="left"/>
              <w:rPr>
                <w:kern w:val="0"/>
                <w:sz w:val="20"/>
                <w:szCs w:val="20"/>
                <w:highlight w:val="none"/>
              </w:rPr>
            </w:pPr>
          </w:p>
        </w:tc>
        <w:tc>
          <w:tcPr>
            <w:tcW w:w="0" w:type="auto"/>
            <w:noWrap w:val="0"/>
            <w:vAlign w:val="center"/>
          </w:tcPr>
          <w:p w14:paraId="03E27A4E">
            <w:pPr>
              <w:widowControl/>
              <w:jc w:val="left"/>
              <w:rPr>
                <w:kern w:val="0"/>
                <w:sz w:val="20"/>
                <w:szCs w:val="20"/>
                <w:highlight w:val="none"/>
              </w:rPr>
            </w:pPr>
          </w:p>
        </w:tc>
        <w:tc>
          <w:tcPr>
            <w:tcW w:w="0" w:type="auto"/>
            <w:noWrap w:val="0"/>
            <w:vAlign w:val="center"/>
          </w:tcPr>
          <w:p w14:paraId="5DFF3524">
            <w:pPr>
              <w:widowControl/>
              <w:jc w:val="left"/>
              <w:rPr>
                <w:kern w:val="0"/>
                <w:sz w:val="20"/>
                <w:szCs w:val="20"/>
                <w:highlight w:val="none"/>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52C64E4">
      <w:pPr>
        <w:pStyle w:val="5"/>
        <w:rPr>
          <w:rFonts w:hint="eastAsia" w:ascii="宋体" w:hAnsi="宋体" w:eastAsia="宋体" w:cs="宋体"/>
          <w:b/>
          <w:color w:val="auto"/>
          <w:sz w:val="24"/>
          <w:szCs w:val="24"/>
          <w:highlight w:val="none"/>
        </w:rPr>
      </w:pPr>
    </w:p>
    <w:p w14:paraId="65C5BEB6">
      <w:pPr>
        <w:pStyle w:val="6"/>
        <w:rPr>
          <w:rFonts w:hint="eastAsia" w:ascii="宋体" w:hAnsi="宋体" w:eastAsia="宋体" w:cs="宋体"/>
          <w:b/>
          <w:color w:val="auto"/>
          <w:sz w:val="24"/>
          <w:szCs w:val="24"/>
          <w:highlight w:val="none"/>
        </w:rPr>
      </w:pPr>
    </w:p>
    <w:p w14:paraId="02C0882E">
      <w:pPr>
        <w:rPr>
          <w:rFonts w:hint="eastAsia" w:ascii="宋体" w:hAnsi="宋体" w:eastAsia="宋体" w:cs="宋体"/>
          <w:b/>
          <w:color w:val="auto"/>
          <w:sz w:val="24"/>
          <w:szCs w:val="24"/>
          <w:highlight w:val="none"/>
        </w:rPr>
      </w:pPr>
    </w:p>
    <w:p w14:paraId="6EF7BC14">
      <w:pPr>
        <w:pStyle w:val="5"/>
        <w:rPr>
          <w:rFonts w:hint="eastAsia" w:ascii="宋体" w:hAnsi="宋体" w:eastAsia="宋体" w:cs="宋体"/>
          <w:b/>
          <w:color w:val="auto"/>
          <w:sz w:val="24"/>
          <w:szCs w:val="24"/>
          <w:highlight w:val="none"/>
        </w:rPr>
      </w:pPr>
    </w:p>
    <w:p w14:paraId="070E61D0">
      <w:pPr>
        <w:pStyle w:val="6"/>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5"/>
        <w:rPr>
          <w:rFonts w:hint="eastAsia" w:ascii="宋体" w:hAnsi="宋体" w:eastAsia="宋体" w:cs="宋体"/>
          <w:b/>
          <w:sz w:val="28"/>
          <w:szCs w:val="28"/>
          <w:highlight w:val="none"/>
        </w:rPr>
      </w:pPr>
    </w:p>
    <w:p w14:paraId="0DB3B49C">
      <w:pPr>
        <w:pStyle w:val="6"/>
        <w:rPr>
          <w:rFonts w:hint="eastAsia"/>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19D825F8">
      <w:pPr>
        <w:adjustRightInd w:val="0"/>
        <w:snapToGrid w:val="0"/>
        <w:spacing w:line="360" w:lineRule="auto"/>
        <w:jc w:val="center"/>
        <w:rPr>
          <w:rFonts w:hint="eastAsia" w:ascii="宋体" w:hAnsi="宋体" w:eastAsia="宋体" w:cs="宋体"/>
          <w:sz w:val="24"/>
          <w:szCs w:val="24"/>
          <w:highlight w:val="none"/>
          <w:lang w:val="en-US" w:eastAsia="zh-CN"/>
        </w:rPr>
      </w:pPr>
    </w:p>
    <w:p w14:paraId="6FA91902">
      <w:pPr>
        <w:adjustRightInd w:val="0"/>
        <w:snapToGrid w:val="0"/>
        <w:spacing w:line="360" w:lineRule="auto"/>
        <w:jc w:val="center"/>
        <w:rPr>
          <w:rFonts w:hint="eastAsia" w:ascii="宋体" w:hAnsi="宋体" w:eastAsia="宋体" w:cs="宋体"/>
          <w:sz w:val="24"/>
          <w:szCs w:val="24"/>
          <w:highlight w:val="none"/>
          <w:lang w:val="en-US" w:eastAsia="zh-CN"/>
        </w:rPr>
      </w:pPr>
    </w:p>
    <w:p w14:paraId="09DF3DFD">
      <w:pPr>
        <w:adjustRightInd w:val="0"/>
        <w:snapToGrid w:val="0"/>
        <w:spacing w:line="360" w:lineRule="auto"/>
        <w:jc w:val="center"/>
        <w:rPr>
          <w:rFonts w:hint="eastAsia" w:ascii="宋体" w:hAnsi="宋体" w:eastAsia="宋体" w:cs="宋体"/>
          <w:sz w:val="24"/>
          <w:szCs w:val="24"/>
          <w:highlight w:val="none"/>
          <w:lang w:val="en-US" w:eastAsia="zh-CN"/>
        </w:rPr>
      </w:pPr>
    </w:p>
    <w:p w14:paraId="689159AC">
      <w:pPr>
        <w:adjustRightInd w:val="0"/>
        <w:snapToGrid w:val="0"/>
        <w:spacing w:line="360" w:lineRule="auto"/>
        <w:jc w:val="center"/>
        <w:rPr>
          <w:rFonts w:hint="eastAsia" w:ascii="宋体" w:hAnsi="宋体" w:eastAsia="宋体" w:cs="宋体"/>
          <w:sz w:val="24"/>
          <w:szCs w:val="24"/>
          <w:highlight w:val="none"/>
          <w:lang w:val="en-US" w:eastAsia="zh-CN"/>
        </w:rPr>
      </w:pP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7"/>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0BB7074A">
      <w:pPr>
        <w:spacing w:line="300" w:lineRule="auto"/>
        <w:jc w:val="center"/>
        <w:rPr>
          <w:rFonts w:hint="eastAsia" w:ascii="宋体" w:hAnsi="宋体" w:eastAsia="宋体" w:cs="宋体"/>
          <w:b/>
          <w:sz w:val="24"/>
          <w:szCs w:val="24"/>
          <w:lang w:val="en-US" w:eastAsia="zh-CN"/>
        </w:rPr>
      </w:pPr>
    </w:p>
    <w:p w14:paraId="38323BBD">
      <w:pPr>
        <w:spacing w:line="300" w:lineRule="auto"/>
        <w:jc w:val="center"/>
        <w:rPr>
          <w:rFonts w:hint="eastAsia" w:ascii="宋体" w:hAnsi="宋体" w:eastAsia="宋体" w:cs="宋体"/>
          <w:b/>
          <w:sz w:val="24"/>
          <w:szCs w:val="24"/>
          <w:lang w:val="en-US" w:eastAsia="zh-CN"/>
        </w:rPr>
      </w:pPr>
    </w:p>
    <w:p w14:paraId="2F127EDD">
      <w:pPr>
        <w:spacing w:line="300" w:lineRule="auto"/>
        <w:jc w:val="both"/>
        <w:rPr>
          <w:rFonts w:hint="eastAsia" w:ascii="宋体" w:hAnsi="宋体" w:eastAsia="宋体" w:cs="宋体"/>
          <w:b/>
          <w:sz w:val="24"/>
          <w:szCs w:val="24"/>
          <w:lang w:val="en-US" w:eastAsia="zh-CN"/>
        </w:rPr>
      </w:pPr>
    </w:p>
    <w:p w14:paraId="0FD077D0">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7"/>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17"/>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17"/>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17"/>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17"/>
        <w:rPr>
          <w:rFonts w:hint="eastAsia" w:ascii="宋体" w:hAnsi="宋体" w:eastAsia="宋体" w:cs="宋体"/>
          <w:b/>
          <w:sz w:val="24"/>
          <w:szCs w:val="24"/>
          <w:lang w:val="en-US" w:eastAsia="zh-CN"/>
        </w:rPr>
      </w:pPr>
    </w:p>
    <w:p w14:paraId="18EC1AC6">
      <w:pPr>
        <w:pStyle w:val="17"/>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C905779">
      <w:pPr>
        <w:pStyle w:val="5"/>
        <w:rPr>
          <w:rFonts w:hint="eastAsia"/>
          <w:lang w:val="en-US" w:eastAsia="zh-CN"/>
        </w:rPr>
        <w:sectPr>
          <w:footerReference r:id="rId9" w:type="first"/>
          <w:footerReference r:id="rId8" w:type="default"/>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1FD461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84F">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CD7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951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1951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E334E5"/>
    <w:rsid w:val="02E86081"/>
    <w:rsid w:val="035717DD"/>
    <w:rsid w:val="03897536"/>
    <w:rsid w:val="03F97469"/>
    <w:rsid w:val="04592E9D"/>
    <w:rsid w:val="048939E6"/>
    <w:rsid w:val="05B2182D"/>
    <w:rsid w:val="06171F69"/>
    <w:rsid w:val="06A82EB5"/>
    <w:rsid w:val="071A149F"/>
    <w:rsid w:val="07E850FA"/>
    <w:rsid w:val="08217F14"/>
    <w:rsid w:val="087F3AF1"/>
    <w:rsid w:val="088F5575"/>
    <w:rsid w:val="08CC2878"/>
    <w:rsid w:val="08E80A7E"/>
    <w:rsid w:val="09520DAD"/>
    <w:rsid w:val="09793822"/>
    <w:rsid w:val="09B9389E"/>
    <w:rsid w:val="0AC90DEF"/>
    <w:rsid w:val="0ACB4F8A"/>
    <w:rsid w:val="0ACE6829"/>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8D3011"/>
    <w:rsid w:val="12D1759B"/>
    <w:rsid w:val="12D93FBD"/>
    <w:rsid w:val="13734957"/>
    <w:rsid w:val="14062CD2"/>
    <w:rsid w:val="14DC067A"/>
    <w:rsid w:val="152529BA"/>
    <w:rsid w:val="154D0C92"/>
    <w:rsid w:val="15826B8D"/>
    <w:rsid w:val="15C72CF1"/>
    <w:rsid w:val="15F31BF6"/>
    <w:rsid w:val="16331F1D"/>
    <w:rsid w:val="17B31280"/>
    <w:rsid w:val="17C074F9"/>
    <w:rsid w:val="17EF6B49"/>
    <w:rsid w:val="18B249A7"/>
    <w:rsid w:val="18C97EE3"/>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7B3443"/>
    <w:rsid w:val="3B8274A1"/>
    <w:rsid w:val="3CA75258"/>
    <w:rsid w:val="3CDA51F8"/>
    <w:rsid w:val="3D291124"/>
    <w:rsid w:val="3D8243B7"/>
    <w:rsid w:val="3DA556F2"/>
    <w:rsid w:val="3E014244"/>
    <w:rsid w:val="3EAB2402"/>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EFE2B32"/>
    <w:rsid w:val="4F0509F2"/>
    <w:rsid w:val="50583AA6"/>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AA1BE6"/>
    <w:rsid w:val="58C116F7"/>
    <w:rsid w:val="58F01918"/>
    <w:rsid w:val="59350DEE"/>
    <w:rsid w:val="59965D30"/>
    <w:rsid w:val="599B3AEC"/>
    <w:rsid w:val="59F34F35"/>
    <w:rsid w:val="5A0407DB"/>
    <w:rsid w:val="5A7512E0"/>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083E29"/>
    <w:rsid w:val="69505A45"/>
    <w:rsid w:val="69BD2E65"/>
    <w:rsid w:val="69FA391B"/>
    <w:rsid w:val="6A490A13"/>
    <w:rsid w:val="6A714AFC"/>
    <w:rsid w:val="6AF64881"/>
    <w:rsid w:val="6B146AB5"/>
    <w:rsid w:val="6B1747F7"/>
    <w:rsid w:val="6B823269"/>
    <w:rsid w:val="6BBF7E61"/>
    <w:rsid w:val="6C9A3DF7"/>
    <w:rsid w:val="6D0E2C88"/>
    <w:rsid w:val="6D967C55"/>
    <w:rsid w:val="6F851A7C"/>
    <w:rsid w:val="6FDC188B"/>
    <w:rsid w:val="6FDF5E73"/>
    <w:rsid w:val="6FE016FF"/>
    <w:rsid w:val="702847D9"/>
    <w:rsid w:val="71343921"/>
    <w:rsid w:val="71D329C4"/>
    <w:rsid w:val="71DA6389"/>
    <w:rsid w:val="71F25676"/>
    <w:rsid w:val="73387905"/>
    <w:rsid w:val="74A7269D"/>
    <w:rsid w:val="751F2C26"/>
    <w:rsid w:val="75406B66"/>
    <w:rsid w:val="75C4434D"/>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8106</Words>
  <Characters>8637</Characters>
  <Lines>0</Lines>
  <Paragraphs>0</Paragraphs>
  <TotalTime>8</TotalTime>
  <ScaleCrop>false</ScaleCrop>
  <LinksUpToDate>false</LinksUpToDate>
  <CharactersWithSpaces>8949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2025-03-15T07:53:00Z</cp:lastPrinted>
  <dcterms:modified xsi:type="dcterms:W3CDTF">2025-03-20T06:56:48Z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