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F3B5">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2ADE80BE">
      <w:pPr>
        <w:pStyle w:val="22"/>
        <w:rPr>
          <w:rFonts w:hint="eastAsia"/>
          <w:highlight w:val="none"/>
          <w:lang w:val="en-US" w:eastAsia="zh-CN"/>
        </w:rPr>
      </w:pPr>
    </w:p>
    <w:p w14:paraId="63537249">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314266E5">
      <w:pPr>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服务器采购文件</w:t>
      </w:r>
    </w:p>
    <w:p w14:paraId="0BBC8153">
      <w:pPr>
        <w:jc w:val="center"/>
        <w:rPr>
          <w:rFonts w:hint="eastAsia" w:ascii="宋体" w:hAnsi="宋体" w:eastAsia="宋体" w:cs="宋体"/>
          <w:b/>
          <w:sz w:val="24"/>
          <w:szCs w:val="24"/>
          <w:highlight w:val="none"/>
        </w:rPr>
      </w:pPr>
    </w:p>
    <w:p w14:paraId="5F604E2C">
      <w:pPr>
        <w:jc w:val="center"/>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highlight w:val="none"/>
          <w:lang w:val="en-US" w:eastAsia="zh-CN"/>
        </w:rPr>
        <w:t>wcxyy-2025-003</w:t>
      </w:r>
    </w:p>
    <w:p w14:paraId="16A5255A">
      <w:pPr>
        <w:jc w:val="left"/>
        <w:rPr>
          <w:rFonts w:hint="eastAsia" w:ascii="宋体" w:hAnsi="宋体" w:eastAsia="宋体" w:cs="宋体"/>
          <w:b/>
          <w:sz w:val="24"/>
          <w:szCs w:val="24"/>
          <w:highlight w:val="none"/>
        </w:rPr>
      </w:pPr>
    </w:p>
    <w:p w14:paraId="604E35C7">
      <w:pPr>
        <w:jc w:val="left"/>
        <w:rPr>
          <w:rFonts w:hint="eastAsia" w:ascii="宋体" w:hAnsi="宋体" w:eastAsia="宋体" w:cs="宋体"/>
          <w:b/>
          <w:sz w:val="24"/>
          <w:szCs w:val="24"/>
          <w:highlight w:val="none"/>
        </w:rPr>
      </w:pPr>
    </w:p>
    <w:p w14:paraId="0357AA4A">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378661B8">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353A5AA">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2C25D1A6">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31B2A52F">
      <w:pPr>
        <w:spacing w:line="360" w:lineRule="auto"/>
        <w:rPr>
          <w:rFonts w:hint="eastAsia" w:ascii="宋体" w:hAnsi="宋体" w:eastAsia="宋体" w:cs="宋体"/>
          <w:bCs/>
          <w:sz w:val="28"/>
          <w:szCs w:val="18"/>
          <w:highlight w:val="none"/>
        </w:rPr>
      </w:pPr>
    </w:p>
    <w:p w14:paraId="63239E58">
      <w:pPr>
        <w:spacing w:line="360" w:lineRule="auto"/>
        <w:ind w:firstLine="2744" w:firstLineChars="980"/>
        <w:rPr>
          <w:rFonts w:hint="eastAsia" w:ascii="宋体" w:hAnsi="宋体" w:eastAsia="宋体" w:cs="宋体"/>
          <w:bCs/>
          <w:sz w:val="28"/>
          <w:szCs w:val="18"/>
          <w:highlight w:val="none"/>
        </w:rPr>
      </w:pPr>
    </w:p>
    <w:p w14:paraId="69F8EDE2">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三</w:t>
      </w:r>
      <w:r>
        <w:rPr>
          <w:rFonts w:hint="eastAsia" w:ascii="宋体" w:hAnsi="宋体" w:eastAsia="宋体" w:cs="宋体"/>
          <w:bCs/>
          <w:sz w:val="28"/>
          <w:szCs w:val="18"/>
          <w:highlight w:val="none"/>
        </w:rPr>
        <w:t>月</w:t>
      </w:r>
    </w:p>
    <w:p w14:paraId="14936652">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F41664D">
      <w:pPr>
        <w:pStyle w:val="5"/>
        <w:rPr>
          <w:rFonts w:hint="eastAsia" w:ascii="宋体" w:hAnsi="宋体" w:eastAsia="宋体" w:cs="宋体"/>
          <w:b/>
          <w:kern w:val="24"/>
          <w:sz w:val="24"/>
          <w:szCs w:val="24"/>
          <w:highlight w:val="none"/>
        </w:rPr>
      </w:pPr>
    </w:p>
    <w:p w14:paraId="0B64ACC3">
      <w:pPr>
        <w:pStyle w:val="21"/>
        <w:rPr>
          <w:rFonts w:hint="eastAsia"/>
          <w:highlight w:val="none"/>
        </w:rPr>
      </w:pPr>
      <w:r>
        <w:rPr>
          <w:rFonts w:hint="eastAsia" w:ascii="宋体" w:hAnsi="宋体" w:cs="宋体"/>
          <w:b/>
          <w:kern w:val="24"/>
          <w:sz w:val="24"/>
          <w:szCs w:val="24"/>
          <w:highlight w:val="none"/>
          <w:lang w:val="en-US" w:eastAsia="zh-CN"/>
        </w:rPr>
        <w:t xml:space="preserve"> </w:t>
      </w:r>
    </w:p>
    <w:p w14:paraId="70D77A33">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2C0F760">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07DDC66">
      <w:pPr>
        <w:spacing w:line="360" w:lineRule="auto"/>
        <w:ind w:firstLine="420"/>
        <w:jc w:val="center"/>
        <w:rPr>
          <w:rFonts w:hint="eastAsia" w:ascii="宋体" w:hAnsi="宋体" w:eastAsia="宋体" w:cs="宋体"/>
          <w:b/>
          <w:spacing w:val="12"/>
          <w:sz w:val="24"/>
          <w:szCs w:val="24"/>
          <w:highlight w:val="none"/>
        </w:rPr>
      </w:pPr>
    </w:p>
    <w:p w14:paraId="65EC5795">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2AB132DC">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70193585">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12</w:t>
      </w:r>
    </w:p>
    <w:p w14:paraId="472A5B0C">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15</w:t>
      </w:r>
    </w:p>
    <w:p w14:paraId="6660C91A">
      <w:pPr>
        <w:autoSpaceDE w:val="0"/>
        <w:autoSpaceDN w:val="0"/>
        <w:adjustRightInd w:val="0"/>
        <w:spacing w:line="700" w:lineRule="exact"/>
        <w:rPr>
          <w:rFonts w:hint="eastAsia" w:ascii="宋体" w:hAnsi="宋体" w:eastAsia="宋体" w:cs="宋体"/>
          <w:bCs/>
          <w:kern w:val="0"/>
          <w:sz w:val="24"/>
          <w:szCs w:val="24"/>
          <w:highlight w:val="none"/>
        </w:rPr>
      </w:pPr>
    </w:p>
    <w:p w14:paraId="63ADCD0D">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5B96C7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434BB7E">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6E29746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C1B00B8">
      <w:pPr>
        <w:pStyle w:val="5"/>
        <w:rPr>
          <w:rFonts w:hint="eastAsia"/>
          <w:highlight w:val="none"/>
        </w:rPr>
      </w:pPr>
    </w:p>
    <w:p w14:paraId="7841F79B">
      <w:pPr>
        <w:pStyle w:val="16"/>
        <w:rPr>
          <w:rFonts w:hint="eastAsia" w:ascii="宋体" w:hAnsi="宋体" w:eastAsia="宋体" w:cs="宋体"/>
          <w:sz w:val="24"/>
          <w:szCs w:val="24"/>
          <w:highlight w:val="none"/>
        </w:rPr>
      </w:pPr>
    </w:p>
    <w:p w14:paraId="4F2DBF57">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FF1A422">
      <w:pPr>
        <w:pStyle w:val="16"/>
        <w:rPr>
          <w:rFonts w:hint="eastAsia"/>
          <w:highlight w:val="none"/>
        </w:rPr>
      </w:pPr>
    </w:p>
    <w:p w14:paraId="6CEFF4C5">
      <w:pPr>
        <w:pStyle w:val="5"/>
        <w:rPr>
          <w:rFonts w:hint="eastAsia"/>
          <w:highlight w:val="none"/>
        </w:rPr>
      </w:pPr>
    </w:p>
    <w:p w14:paraId="77818750">
      <w:pPr>
        <w:jc w:val="center"/>
        <w:rPr>
          <w:rFonts w:hint="eastAsia" w:ascii="宋体" w:hAnsi="宋体" w:eastAsia="宋体" w:cs="宋体"/>
          <w:b/>
          <w:sz w:val="28"/>
          <w:szCs w:val="28"/>
          <w:highlight w:val="none"/>
        </w:rPr>
      </w:pPr>
    </w:p>
    <w:p w14:paraId="772875C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776B20AF">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供应商须知前附表</w:t>
      </w:r>
    </w:p>
    <w:p w14:paraId="3BB0055F">
      <w:pPr>
        <w:ind w:firstLine="420"/>
        <w:rPr>
          <w:rFonts w:hint="eastAsia" w:ascii="宋体" w:hAnsi="宋体" w:eastAsia="宋体" w:cs="宋体"/>
          <w:sz w:val="24"/>
          <w:highlight w:val="none"/>
        </w:rPr>
      </w:pPr>
      <w:r>
        <w:rPr>
          <w:rFonts w:hint="eastAsia" w:ascii="宋体" w:hAnsi="宋体" w:eastAsia="宋体" w:cs="宋体"/>
          <w:sz w:val="24"/>
          <w:highlight w:val="none"/>
        </w:rPr>
        <w:t>本表关于要采购的货物的具体资料是对供应商须知的具体补充和修改，如有矛盾，应以本资料表为准。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7819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6B40D623">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1455" w:type="dxa"/>
            <w:tcBorders>
              <w:right w:val="single" w:color="auto" w:sz="4" w:space="0"/>
            </w:tcBorders>
            <w:noWrap w:val="0"/>
            <w:vAlign w:val="center"/>
          </w:tcPr>
          <w:p w14:paraId="005D6D4F">
            <w:pPr>
              <w:jc w:val="center"/>
              <w:rPr>
                <w:rFonts w:hint="eastAsia" w:ascii="宋体" w:hAnsi="宋体" w:eastAsia="宋体" w:cs="宋体"/>
                <w:b/>
                <w:sz w:val="24"/>
                <w:highlight w:val="none"/>
              </w:rPr>
            </w:pPr>
            <w:r>
              <w:rPr>
                <w:rFonts w:hint="eastAsia" w:ascii="宋体" w:hAnsi="宋体" w:eastAsia="宋体" w:cs="宋体"/>
                <w:sz w:val="24"/>
                <w:highlight w:val="none"/>
              </w:rPr>
              <w:t>条款名称</w:t>
            </w:r>
          </w:p>
        </w:tc>
        <w:tc>
          <w:tcPr>
            <w:tcW w:w="6863" w:type="dxa"/>
            <w:tcBorders>
              <w:left w:val="single" w:color="auto" w:sz="4" w:space="0"/>
            </w:tcBorders>
            <w:noWrap w:val="0"/>
            <w:vAlign w:val="center"/>
          </w:tcPr>
          <w:p w14:paraId="5CE17888">
            <w:pPr>
              <w:ind w:firstLine="1446" w:firstLineChars="600"/>
              <w:rPr>
                <w:rFonts w:hint="eastAsia" w:ascii="宋体" w:hAnsi="宋体" w:eastAsia="宋体" w:cs="宋体"/>
                <w:b/>
                <w:sz w:val="24"/>
                <w:highlight w:val="none"/>
              </w:rPr>
            </w:pPr>
            <w:r>
              <w:rPr>
                <w:rFonts w:hint="eastAsia" w:ascii="宋体" w:hAnsi="宋体" w:eastAsia="宋体" w:cs="宋体"/>
                <w:b/>
                <w:sz w:val="24"/>
                <w:highlight w:val="none"/>
              </w:rPr>
              <w:t>内          容</w:t>
            </w:r>
          </w:p>
        </w:tc>
      </w:tr>
      <w:tr w14:paraId="6128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88EFBC8">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55" w:type="dxa"/>
            <w:tcBorders>
              <w:bottom w:val="single" w:color="auto" w:sz="4" w:space="0"/>
              <w:right w:val="single" w:color="auto" w:sz="4" w:space="0"/>
            </w:tcBorders>
            <w:noWrap w:val="0"/>
            <w:vAlign w:val="center"/>
          </w:tcPr>
          <w:p w14:paraId="0E48F711">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863" w:type="dxa"/>
            <w:tcBorders>
              <w:left w:val="single" w:color="auto" w:sz="4" w:space="0"/>
              <w:bottom w:val="single" w:color="auto" w:sz="4" w:space="0"/>
            </w:tcBorders>
            <w:noWrap w:val="0"/>
            <w:vAlign w:val="center"/>
          </w:tcPr>
          <w:p w14:paraId="50A99BAE">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名  称：围场满族蒙古族自治县医院</w:t>
            </w:r>
          </w:p>
          <w:p w14:paraId="04675D6F">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地  址：围场满族蒙古族自治县医院指定地点</w:t>
            </w:r>
          </w:p>
          <w:p w14:paraId="3C226045">
            <w:pPr>
              <w:snapToGrid w:val="0"/>
              <w:spacing w:line="32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张倩</w:t>
            </w:r>
          </w:p>
          <w:p w14:paraId="32179F5D">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0314-7568579</w:t>
            </w:r>
          </w:p>
        </w:tc>
      </w:tr>
      <w:tr w14:paraId="64126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E4AC4F3">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455" w:type="dxa"/>
            <w:tcBorders>
              <w:top w:val="single" w:color="auto" w:sz="4" w:space="0"/>
              <w:right w:val="single" w:color="auto" w:sz="4" w:space="0"/>
            </w:tcBorders>
            <w:noWrap w:val="0"/>
            <w:vAlign w:val="center"/>
          </w:tcPr>
          <w:p w14:paraId="38303B2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资金来源及项目预算</w:t>
            </w:r>
          </w:p>
        </w:tc>
        <w:tc>
          <w:tcPr>
            <w:tcW w:w="6863" w:type="dxa"/>
            <w:tcBorders>
              <w:top w:val="single" w:color="auto" w:sz="4" w:space="0"/>
              <w:left w:val="single" w:color="auto" w:sz="4" w:space="0"/>
            </w:tcBorders>
            <w:noWrap w:val="0"/>
            <w:vAlign w:val="center"/>
          </w:tcPr>
          <w:p w14:paraId="550F0373">
            <w:pPr>
              <w:snapToGrid w:val="0"/>
              <w:spacing w:line="320" w:lineRule="exact"/>
              <w:rPr>
                <w:rFonts w:hint="eastAsia" w:ascii="宋体" w:hAnsi="宋体" w:eastAsia="宋体" w:cs="宋体"/>
                <w:sz w:val="24"/>
                <w:highlight w:val="none"/>
                <w:lang w:eastAsia="zh-CN"/>
              </w:rPr>
            </w:pPr>
            <w:r>
              <w:rPr>
                <w:rFonts w:hint="eastAsia" w:ascii="宋体" w:hAnsi="宋体" w:eastAsia="宋体" w:cs="宋体"/>
                <w:sz w:val="24"/>
                <w:highlight w:val="none"/>
              </w:rPr>
              <w:t>资金来源：</w:t>
            </w:r>
            <w:r>
              <w:rPr>
                <w:rFonts w:hint="eastAsia" w:ascii="宋体" w:hAnsi="宋体" w:eastAsia="宋体" w:cs="宋体"/>
                <w:sz w:val="24"/>
                <w:highlight w:val="none"/>
                <w:lang w:val="en-US" w:eastAsia="zh-CN"/>
              </w:rPr>
              <w:t>自筹</w:t>
            </w:r>
          </w:p>
          <w:p w14:paraId="1BAE32AD">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采购项目预算金额：</w:t>
            </w:r>
            <w:r>
              <w:rPr>
                <w:rFonts w:hint="eastAsia" w:ascii="宋体" w:hAnsi="宋体" w:cs="宋体"/>
                <w:sz w:val="24"/>
                <w:highlight w:val="none"/>
                <w:lang w:val="en-US" w:eastAsia="zh-CN"/>
              </w:rPr>
              <w:t>20</w:t>
            </w:r>
            <w:r>
              <w:rPr>
                <w:rFonts w:hint="eastAsia" w:ascii="宋体" w:hAnsi="宋体" w:eastAsia="宋体" w:cs="宋体"/>
                <w:sz w:val="24"/>
                <w:highlight w:val="none"/>
                <w:lang w:eastAsia="zh-CN"/>
              </w:rPr>
              <w:t>万元，</w:t>
            </w:r>
            <w:r>
              <w:rPr>
                <w:rFonts w:hint="eastAsia" w:ascii="宋体" w:hAnsi="宋体" w:eastAsia="宋体" w:cs="宋体"/>
                <w:sz w:val="24"/>
                <w:highlight w:val="none"/>
                <w:lang w:val="en-US" w:eastAsia="zh-CN"/>
              </w:rPr>
              <w:t>超过采购预算金额的投标报价将被拒绝。</w:t>
            </w:r>
          </w:p>
        </w:tc>
      </w:tr>
      <w:tr w14:paraId="20C9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C4C600F">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455" w:type="dxa"/>
            <w:tcBorders>
              <w:top w:val="single" w:color="auto" w:sz="4" w:space="0"/>
              <w:right w:val="single" w:color="auto" w:sz="4" w:space="0"/>
            </w:tcBorders>
            <w:noWrap w:val="0"/>
            <w:vAlign w:val="center"/>
          </w:tcPr>
          <w:p w14:paraId="7A520FA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交货时间</w:t>
            </w:r>
          </w:p>
        </w:tc>
        <w:tc>
          <w:tcPr>
            <w:tcW w:w="6863" w:type="dxa"/>
            <w:tcBorders>
              <w:top w:val="single" w:color="auto" w:sz="4" w:space="0"/>
              <w:left w:val="single" w:color="auto" w:sz="4" w:space="0"/>
            </w:tcBorders>
            <w:noWrap w:val="0"/>
            <w:vAlign w:val="center"/>
          </w:tcPr>
          <w:p w14:paraId="60D6717E">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双方签订合同后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天内完成供货</w:t>
            </w:r>
          </w:p>
        </w:tc>
      </w:tr>
      <w:tr w14:paraId="333B9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672FEE8F">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1455" w:type="dxa"/>
            <w:tcBorders>
              <w:top w:val="single" w:color="auto" w:sz="4" w:space="0"/>
              <w:right w:val="single" w:color="auto" w:sz="4" w:space="0"/>
            </w:tcBorders>
            <w:noWrap w:val="0"/>
            <w:vAlign w:val="center"/>
          </w:tcPr>
          <w:p w14:paraId="541393D5">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交货地点</w:t>
            </w:r>
          </w:p>
        </w:tc>
        <w:tc>
          <w:tcPr>
            <w:tcW w:w="6863" w:type="dxa"/>
            <w:tcBorders>
              <w:top w:val="single" w:color="auto" w:sz="4" w:space="0"/>
              <w:left w:val="single" w:color="auto" w:sz="4" w:space="0"/>
            </w:tcBorders>
            <w:noWrap w:val="0"/>
            <w:vAlign w:val="center"/>
          </w:tcPr>
          <w:p w14:paraId="09B66CB5">
            <w:pPr>
              <w:spacing w:line="440" w:lineRule="exact"/>
              <w:rPr>
                <w:rFonts w:ascii="宋体" w:hAnsi="宋体" w:eastAsia="宋体" w:cs="宋体"/>
                <w:sz w:val="24"/>
                <w:highlight w:val="none"/>
              </w:rPr>
            </w:pPr>
            <w:r>
              <w:rPr>
                <w:rFonts w:hint="eastAsia" w:ascii="宋体" w:hAnsi="宋体" w:eastAsia="宋体" w:cs="宋体"/>
                <w:sz w:val="24"/>
                <w:highlight w:val="none"/>
              </w:rPr>
              <w:t>采购人指定地点</w:t>
            </w:r>
          </w:p>
        </w:tc>
      </w:tr>
      <w:tr w14:paraId="3819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3911D35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1455" w:type="dxa"/>
            <w:tcBorders>
              <w:top w:val="single" w:color="auto" w:sz="4" w:space="0"/>
              <w:right w:val="single" w:color="auto" w:sz="4" w:space="0"/>
            </w:tcBorders>
            <w:noWrap w:val="0"/>
            <w:vAlign w:val="center"/>
          </w:tcPr>
          <w:p w14:paraId="2C4B1841">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质量要求</w:t>
            </w:r>
          </w:p>
        </w:tc>
        <w:tc>
          <w:tcPr>
            <w:tcW w:w="6863" w:type="dxa"/>
            <w:tcBorders>
              <w:top w:val="single" w:color="auto" w:sz="4" w:space="0"/>
              <w:left w:val="single" w:color="auto" w:sz="4" w:space="0"/>
            </w:tcBorders>
            <w:noWrap w:val="0"/>
            <w:vAlign w:val="center"/>
          </w:tcPr>
          <w:p w14:paraId="4A358AFF">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合格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三</w:t>
            </w:r>
            <w:r>
              <w:rPr>
                <w:rFonts w:hint="eastAsia" w:ascii="宋体" w:hAnsi="宋体" w:eastAsia="宋体" w:cs="宋体"/>
                <w:sz w:val="24"/>
                <w:highlight w:val="none"/>
                <w:lang w:val="en-US" w:eastAsia="zh-CN"/>
              </w:rPr>
              <w:t>年</w:t>
            </w:r>
          </w:p>
        </w:tc>
      </w:tr>
      <w:tr w14:paraId="7565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CC5C70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455" w:type="dxa"/>
            <w:tcBorders>
              <w:top w:val="single" w:color="auto" w:sz="4" w:space="0"/>
              <w:right w:val="single" w:color="auto" w:sz="4" w:space="0"/>
            </w:tcBorders>
            <w:noWrap w:val="0"/>
            <w:vAlign w:val="center"/>
          </w:tcPr>
          <w:p w14:paraId="6332A758">
            <w:pPr>
              <w:spacing w:line="360" w:lineRule="exact"/>
              <w:ind w:left="139" w:leftChars="66"/>
              <w:jc w:val="center"/>
              <w:rPr>
                <w:rFonts w:hint="eastAsia" w:ascii="宋体" w:hAnsi="宋体" w:eastAsia="宋体" w:cs="宋体"/>
                <w:sz w:val="24"/>
                <w:highlight w:val="none"/>
              </w:rPr>
            </w:pPr>
            <w:r>
              <w:rPr>
                <w:rFonts w:hint="eastAsia" w:ascii="宋体" w:hAnsi="宋体" w:eastAsia="宋体" w:cs="宋体"/>
                <w:sz w:val="24"/>
                <w:highlight w:val="none"/>
              </w:rPr>
              <w:t>供应商资格要求</w:t>
            </w:r>
          </w:p>
        </w:tc>
        <w:tc>
          <w:tcPr>
            <w:tcW w:w="6863" w:type="dxa"/>
            <w:tcBorders>
              <w:top w:val="single" w:color="auto" w:sz="4" w:space="0"/>
              <w:left w:val="single" w:color="auto" w:sz="4" w:space="0"/>
            </w:tcBorders>
            <w:noWrap w:val="0"/>
            <w:vAlign w:val="center"/>
          </w:tcPr>
          <w:p w14:paraId="1B8E2CDF">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1、供应商必须满足《中华人民共和国政府采购法》第二十二条规定，且具有履行合同所必需的供货及服务能力。</w:t>
            </w:r>
          </w:p>
        </w:tc>
      </w:tr>
      <w:tr w14:paraId="4B2E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E26F063">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p>
        </w:tc>
        <w:tc>
          <w:tcPr>
            <w:tcW w:w="1455" w:type="dxa"/>
            <w:tcBorders>
              <w:top w:val="single" w:color="auto" w:sz="4" w:space="0"/>
              <w:right w:val="single" w:color="auto" w:sz="4" w:space="0"/>
            </w:tcBorders>
            <w:noWrap w:val="0"/>
            <w:vAlign w:val="center"/>
          </w:tcPr>
          <w:p w14:paraId="6869FB6D">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联合体投标</w:t>
            </w:r>
          </w:p>
        </w:tc>
        <w:tc>
          <w:tcPr>
            <w:tcW w:w="6863" w:type="dxa"/>
            <w:tcBorders>
              <w:top w:val="single" w:color="auto" w:sz="4" w:space="0"/>
              <w:left w:val="single" w:color="auto" w:sz="4" w:space="0"/>
            </w:tcBorders>
            <w:noWrap w:val="0"/>
            <w:vAlign w:val="center"/>
          </w:tcPr>
          <w:p w14:paraId="4AA64E97">
            <w:pPr>
              <w:spacing w:line="36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rPr>
              <w:t>本项目不接受联合体投标。</w:t>
            </w:r>
          </w:p>
        </w:tc>
      </w:tr>
      <w:tr w14:paraId="3E6F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4A282379">
            <w:pPr>
              <w:spacing w:line="420" w:lineRule="exact"/>
              <w:jc w:val="center"/>
              <w:rPr>
                <w:rFonts w:hint="eastAsia" w:ascii="宋体" w:hAnsi="宋体" w:eastAsia="宋体" w:cs="宋体"/>
                <w:b/>
                <w:sz w:val="24"/>
                <w:highlight w:val="none"/>
              </w:rPr>
            </w:pPr>
            <w:r>
              <w:rPr>
                <w:rFonts w:hint="eastAsia" w:ascii="宋体" w:hAnsi="宋体" w:eastAsia="宋体" w:cs="宋体"/>
                <w:b/>
                <w:sz w:val="24"/>
                <w:highlight w:val="none"/>
              </w:rPr>
              <w:t>投 标 书 的 编 制 和 递 交</w:t>
            </w:r>
          </w:p>
        </w:tc>
      </w:tr>
      <w:tr w14:paraId="250BE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614591E4">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1455" w:type="dxa"/>
            <w:tcBorders>
              <w:right w:val="single" w:color="auto" w:sz="4" w:space="0"/>
            </w:tcBorders>
            <w:noWrap w:val="0"/>
            <w:vAlign w:val="center"/>
          </w:tcPr>
          <w:p w14:paraId="644BBCD6">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6863" w:type="dxa"/>
            <w:tcBorders>
              <w:left w:val="single" w:color="auto" w:sz="4" w:space="0"/>
            </w:tcBorders>
            <w:noWrap w:val="0"/>
            <w:vAlign w:val="center"/>
          </w:tcPr>
          <w:p w14:paraId="3F4576EA">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投标报价为人民币报价，投标总价应包括材料费、包装费、运杂费、各种税费、保险费及相应伴随服务费等一切费用。</w:t>
            </w:r>
          </w:p>
        </w:tc>
      </w:tr>
      <w:tr w14:paraId="4FEA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A99A7A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455" w:type="dxa"/>
            <w:tcBorders>
              <w:right w:val="single" w:color="auto" w:sz="4" w:space="0"/>
            </w:tcBorders>
            <w:noWrap w:val="0"/>
            <w:vAlign w:val="center"/>
          </w:tcPr>
          <w:p w14:paraId="277D1EA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是否允许提交备选方案</w:t>
            </w:r>
          </w:p>
        </w:tc>
        <w:tc>
          <w:tcPr>
            <w:tcW w:w="6863" w:type="dxa"/>
            <w:tcBorders>
              <w:left w:val="single" w:color="auto" w:sz="4" w:space="0"/>
            </w:tcBorders>
            <w:noWrap w:val="0"/>
            <w:vAlign w:val="center"/>
          </w:tcPr>
          <w:p w14:paraId="2BFD770F">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146D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A715603">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455" w:type="dxa"/>
            <w:tcBorders>
              <w:right w:val="single" w:color="auto" w:sz="4" w:space="0"/>
            </w:tcBorders>
            <w:noWrap w:val="0"/>
            <w:vAlign w:val="center"/>
          </w:tcPr>
          <w:p w14:paraId="0BCF8C8D">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6863" w:type="dxa"/>
            <w:tcBorders>
              <w:left w:val="single" w:color="auto" w:sz="4" w:space="0"/>
            </w:tcBorders>
            <w:noWrap w:val="0"/>
            <w:vAlign w:val="center"/>
          </w:tcPr>
          <w:p w14:paraId="4E5C72E0">
            <w:pPr>
              <w:spacing w:line="360" w:lineRule="exact"/>
              <w:rPr>
                <w:rFonts w:hint="eastAsia" w:ascii="宋体" w:hAnsi="宋体" w:eastAsia="宋体" w:cs="宋体"/>
                <w:sz w:val="24"/>
                <w:highlight w:val="none"/>
              </w:rPr>
            </w:pPr>
            <w:r>
              <w:rPr>
                <w:rFonts w:hint="eastAsia" w:ascii="宋体" w:hAnsi="宋体" w:eastAsia="宋体" w:cs="宋体"/>
                <w:sz w:val="24"/>
                <w:highlight w:val="none"/>
              </w:rPr>
              <w:t>为30日历天（从投标截止之日算起）</w:t>
            </w:r>
          </w:p>
        </w:tc>
      </w:tr>
      <w:tr w14:paraId="6BFBC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B192193">
            <w:pPr>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1455" w:type="dxa"/>
            <w:tcBorders>
              <w:right w:val="single" w:color="auto" w:sz="4" w:space="0"/>
            </w:tcBorders>
            <w:noWrap w:val="0"/>
            <w:vAlign w:val="center"/>
          </w:tcPr>
          <w:p w14:paraId="69BA4181">
            <w:pPr>
              <w:spacing w:line="320" w:lineRule="exact"/>
              <w:jc w:val="center"/>
              <w:rPr>
                <w:rFonts w:hint="eastAsia" w:ascii="宋体" w:hAnsi="宋体" w:eastAsia="宋体" w:cs="宋体"/>
                <w:sz w:val="24"/>
                <w:highlight w:val="none"/>
              </w:rPr>
            </w:pPr>
            <w:r>
              <w:rPr>
                <w:rFonts w:hint="eastAsia" w:ascii="宋体" w:hAnsi="宋体" w:eastAsia="宋体" w:cs="宋体"/>
                <w:sz w:val="24"/>
                <w:highlight w:val="none"/>
              </w:rPr>
              <w:t>申请文件份数</w:t>
            </w:r>
          </w:p>
        </w:tc>
        <w:tc>
          <w:tcPr>
            <w:tcW w:w="6863" w:type="dxa"/>
            <w:tcBorders>
              <w:left w:val="single" w:color="auto" w:sz="4" w:space="0"/>
            </w:tcBorders>
            <w:noWrap w:val="0"/>
            <w:vAlign w:val="center"/>
          </w:tcPr>
          <w:p w14:paraId="56003876">
            <w:pPr>
              <w:spacing w:line="320" w:lineRule="exact"/>
              <w:rPr>
                <w:rFonts w:hint="eastAsia" w:ascii="宋体" w:hAnsi="宋体" w:eastAsia="宋体" w:cs="宋体"/>
                <w:sz w:val="24"/>
                <w:highlight w:val="none"/>
              </w:rPr>
            </w:pPr>
            <w:r>
              <w:rPr>
                <w:rFonts w:hint="eastAsia" w:ascii="宋体" w:hAnsi="宋体" w:eastAsia="宋体" w:cs="宋体"/>
                <w:sz w:val="24"/>
                <w:highlight w:val="none"/>
              </w:rPr>
              <w:t>正本一份，副本</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份</w:t>
            </w:r>
          </w:p>
        </w:tc>
      </w:tr>
      <w:tr w14:paraId="59F2D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52A78A0">
            <w:pPr>
              <w:spacing w:line="320" w:lineRule="exact"/>
              <w:jc w:val="center"/>
              <w:rPr>
                <w:rFonts w:hint="eastAsia" w:ascii="宋体" w:hAnsi="宋体" w:eastAsia="华文仿宋" w:cs="宋体"/>
                <w:sz w:val="24"/>
                <w:highlight w:val="none"/>
                <w:lang w:eastAsia="zh-CN"/>
              </w:rPr>
            </w:pPr>
            <w:r>
              <w:rPr>
                <w:rFonts w:hint="eastAsia" w:ascii="宋体" w:hAnsi="宋体" w:eastAsia="宋体" w:cs="宋体"/>
                <w:sz w:val="24"/>
                <w:highlight w:val="none"/>
                <w:lang w:val="en-US" w:eastAsia="zh-CN"/>
              </w:rPr>
              <w:t>12</w:t>
            </w:r>
          </w:p>
        </w:tc>
        <w:tc>
          <w:tcPr>
            <w:tcW w:w="1455" w:type="dxa"/>
            <w:tcBorders>
              <w:right w:val="single" w:color="auto" w:sz="4" w:space="0"/>
            </w:tcBorders>
            <w:noWrap w:val="0"/>
            <w:vAlign w:val="center"/>
          </w:tcPr>
          <w:p w14:paraId="56D238B5">
            <w:pPr>
              <w:spacing w:line="320" w:lineRule="exact"/>
              <w:jc w:val="center"/>
              <w:rPr>
                <w:rFonts w:hint="eastAsia" w:ascii="宋体" w:hAnsi="宋体" w:eastAsia="宋体" w:cs="宋体"/>
                <w:b/>
                <w:sz w:val="24"/>
                <w:highlight w:val="none"/>
              </w:rPr>
            </w:pPr>
            <w:r>
              <w:rPr>
                <w:rFonts w:hint="eastAsia" w:ascii="宋体" w:hAnsi="宋体" w:eastAsia="宋体" w:cs="宋体"/>
                <w:sz w:val="24"/>
                <w:highlight w:val="none"/>
              </w:rPr>
              <w:t>装订与密封要求</w:t>
            </w:r>
          </w:p>
        </w:tc>
        <w:tc>
          <w:tcPr>
            <w:tcW w:w="6863" w:type="dxa"/>
            <w:tcBorders>
              <w:left w:val="single" w:color="auto" w:sz="4" w:space="0"/>
            </w:tcBorders>
            <w:noWrap w:val="0"/>
            <w:vAlign w:val="center"/>
          </w:tcPr>
          <w:p w14:paraId="05E32EA0">
            <w:pPr>
              <w:spacing w:line="320" w:lineRule="exact"/>
              <w:rPr>
                <w:rFonts w:hint="eastAsia" w:ascii="宋体" w:hAnsi="宋体" w:eastAsia="宋体" w:cs="宋体"/>
                <w:sz w:val="24"/>
                <w:highlight w:val="none"/>
              </w:rPr>
            </w:pPr>
            <w:r>
              <w:rPr>
                <w:rFonts w:hint="eastAsia" w:ascii="宋体" w:hAnsi="宋体" w:eastAsia="宋体" w:cs="宋体"/>
                <w:sz w:val="24"/>
                <w:highlight w:val="none"/>
              </w:rPr>
              <w:t>详见本</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文件关于密封与装订相关要求</w:t>
            </w:r>
          </w:p>
        </w:tc>
      </w:tr>
      <w:tr w14:paraId="79C2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0D80A3">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4F6FDEC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6928BC76">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6BF4CD1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31</w:t>
            </w:r>
            <w:r>
              <w:rPr>
                <w:rFonts w:hint="eastAsia" w:ascii="宋体" w:hAnsi="宋体" w:eastAsia="宋体" w:cs="宋体"/>
                <w:sz w:val="24"/>
                <w:highlight w:val="none"/>
              </w:rPr>
              <w:t>日</w:t>
            </w:r>
          </w:p>
        </w:tc>
      </w:tr>
      <w:tr w14:paraId="4746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37FCBE9">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评          标</w:t>
            </w:r>
          </w:p>
        </w:tc>
      </w:tr>
      <w:tr w14:paraId="2405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0D0A78B3">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455" w:type="dxa"/>
            <w:tcBorders>
              <w:right w:val="single" w:color="auto" w:sz="4" w:space="0"/>
            </w:tcBorders>
            <w:noWrap w:val="0"/>
            <w:vAlign w:val="center"/>
          </w:tcPr>
          <w:p w14:paraId="6534F400">
            <w:pPr>
              <w:spacing w:line="420" w:lineRule="exact"/>
              <w:rPr>
                <w:rFonts w:hint="eastAsia" w:ascii="宋体" w:hAnsi="宋体" w:eastAsia="宋体" w:cs="宋体"/>
                <w:sz w:val="24"/>
                <w:highlight w:val="none"/>
              </w:rPr>
            </w:pPr>
            <w:r>
              <w:rPr>
                <w:rFonts w:hint="eastAsia" w:ascii="宋体" w:hAnsi="宋体" w:eastAsia="宋体" w:cs="宋体"/>
                <w:sz w:val="24"/>
                <w:highlight w:val="none"/>
              </w:rPr>
              <w:t>评标方法</w:t>
            </w:r>
          </w:p>
        </w:tc>
        <w:tc>
          <w:tcPr>
            <w:tcW w:w="6863" w:type="dxa"/>
            <w:tcBorders>
              <w:left w:val="single" w:color="auto" w:sz="4" w:space="0"/>
            </w:tcBorders>
            <w:noWrap w:val="0"/>
            <w:vAlign w:val="center"/>
          </w:tcPr>
          <w:p w14:paraId="1B1B60C0">
            <w:pPr>
              <w:spacing w:line="42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lang w:val="en-US" w:eastAsia="zh-CN"/>
              </w:rPr>
              <w:t>综合评分法</w:t>
            </w:r>
          </w:p>
        </w:tc>
      </w:tr>
    </w:tbl>
    <w:p w14:paraId="7CD6DC06">
      <w:pPr>
        <w:spacing w:line="500" w:lineRule="exact"/>
        <w:ind w:firstLine="42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供应商须知正文</w:t>
      </w:r>
    </w:p>
    <w:p w14:paraId="184E4755">
      <w:pPr>
        <w:spacing w:line="5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一、说  明</w:t>
      </w:r>
    </w:p>
    <w:p w14:paraId="63E3EC49">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1.定义</w:t>
      </w:r>
    </w:p>
    <w:p w14:paraId="0C1270B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1.1“采购人”是指依法进行政府采购的国家机关、事业单位、团体组织。本次采购的采购人名称、地址、电话、联系人见</w:t>
      </w:r>
      <w:r>
        <w:rPr>
          <w:rFonts w:hint="eastAsia" w:ascii="宋体" w:hAnsi="宋体" w:eastAsia="宋体" w:cs="宋体"/>
          <w:b/>
          <w:sz w:val="24"/>
          <w:highlight w:val="none"/>
        </w:rPr>
        <w:t>供应商须知前附表</w:t>
      </w:r>
      <w:r>
        <w:rPr>
          <w:rFonts w:hint="eastAsia" w:ascii="宋体" w:hAnsi="宋体" w:eastAsia="宋体" w:cs="宋体"/>
          <w:sz w:val="24"/>
          <w:highlight w:val="none"/>
        </w:rPr>
        <w:t>。</w:t>
      </w:r>
    </w:p>
    <w:p w14:paraId="1E0AB82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“供应商”是响应采购文件并且符合采购文件规定资格条件和参加投标竞争的法人、其他组织或者自然人。</w:t>
      </w:r>
    </w:p>
    <w:p w14:paraId="79EB4CCF">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2.采购项目资金来源及采购预算</w:t>
      </w:r>
    </w:p>
    <w:p w14:paraId="36B6302F">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2.1本项目采购资金</w:t>
      </w:r>
      <w:r>
        <w:rPr>
          <w:rFonts w:hint="eastAsia" w:ascii="宋体" w:hAnsi="宋体" w:eastAsia="宋体" w:cs="宋体"/>
          <w:sz w:val="24"/>
          <w:highlight w:val="none"/>
          <w:lang w:val="en-US" w:eastAsia="zh-CN"/>
        </w:rPr>
        <w:t>为医院自筹资金</w:t>
      </w:r>
      <w:r>
        <w:rPr>
          <w:rFonts w:hint="eastAsia" w:ascii="宋体" w:hAnsi="宋体" w:eastAsia="宋体" w:cs="宋体"/>
          <w:sz w:val="24"/>
          <w:highlight w:val="none"/>
        </w:rPr>
        <w:t>，预算金额见供应商须知前附表。</w:t>
      </w:r>
    </w:p>
    <w:p w14:paraId="4C5E18F0">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3.供应商的资格要求</w:t>
      </w:r>
    </w:p>
    <w:p w14:paraId="7001DD38">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3.1供应商应当符合下列资格条件要求：</w:t>
      </w:r>
    </w:p>
    <w:p w14:paraId="113AAA59">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（1）符合《政府采购法》第二十二条规定的条件；</w:t>
      </w:r>
    </w:p>
    <w:p w14:paraId="171E4A82">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3.2供应商不得存在下列任意情形之一：</w:t>
      </w:r>
    </w:p>
    <w:p w14:paraId="683A5421">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（1）与采购人存在隶属关系或者其他利害关系。</w:t>
      </w:r>
    </w:p>
    <w:p w14:paraId="6D481159">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（2）单位负责人为同一人或者存在直接控股、管理关系的不同供应商，不得参加同一合同项下的政府采购活动。</w:t>
      </w:r>
    </w:p>
    <w:p w14:paraId="5DEC9C95">
      <w:pPr>
        <w:spacing w:line="500" w:lineRule="exact"/>
        <w:rPr>
          <w:rFonts w:hint="eastAsia" w:ascii="宋体" w:hAnsi="宋体" w:eastAsia="宋体" w:cs="宋体"/>
          <w:sz w:val="24"/>
          <w:highlight w:val="none"/>
        </w:rPr>
      </w:pPr>
      <w:r>
        <w:rPr>
          <w:rFonts w:hint="eastAsia" w:ascii="宋体" w:hAnsi="宋体" w:eastAsia="宋体" w:cs="宋体"/>
          <w:b/>
          <w:sz w:val="24"/>
          <w:highlight w:val="none"/>
        </w:rPr>
        <w:t>4.投标费用</w:t>
      </w:r>
    </w:p>
    <w:p w14:paraId="42C4AA1C">
      <w:pPr>
        <w:spacing w:line="500" w:lineRule="exact"/>
        <w:rPr>
          <w:rFonts w:hint="eastAsia" w:ascii="宋体" w:hAnsi="宋体" w:eastAsia="宋体" w:cs="宋体"/>
          <w:sz w:val="24"/>
          <w:highlight w:val="none"/>
        </w:rPr>
      </w:pPr>
      <w:r>
        <w:rPr>
          <w:rFonts w:hint="eastAsia" w:ascii="宋体" w:hAnsi="宋体" w:eastAsia="宋体" w:cs="宋体"/>
          <w:sz w:val="24"/>
          <w:highlight w:val="none"/>
        </w:rPr>
        <w:t>4.1 供应商应承担所有与准备和参加投标有关的费用。不论投标的结果如何,供应商须知前附表中所述的采购人无义务和责任承担这些费用。</w:t>
      </w:r>
    </w:p>
    <w:p w14:paraId="3D938D45">
      <w:pPr>
        <w:snapToGrid w:val="0"/>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5.联合体投标</w:t>
      </w:r>
    </w:p>
    <w:p w14:paraId="28110CE2">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BC3CE97">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5.2本项目是否接受联合体投标及相关要求见</w:t>
      </w:r>
      <w:r>
        <w:rPr>
          <w:rFonts w:hint="eastAsia" w:ascii="宋体" w:hAnsi="宋体" w:eastAsia="宋体" w:cs="宋体"/>
          <w:b/>
          <w:sz w:val="24"/>
          <w:highlight w:val="none"/>
        </w:rPr>
        <w:t>供应商须知前附表</w:t>
      </w:r>
      <w:r>
        <w:rPr>
          <w:rFonts w:hint="eastAsia" w:ascii="宋体" w:hAnsi="宋体" w:eastAsia="宋体" w:cs="宋体"/>
          <w:sz w:val="24"/>
          <w:highlight w:val="none"/>
        </w:rPr>
        <w:t>。</w:t>
      </w:r>
    </w:p>
    <w:p w14:paraId="30A164BE">
      <w:pPr>
        <w:spacing w:line="500" w:lineRule="exact"/>
        <w:ind w:left="360"/>
        <w:jc w:val="center"/>
        <w:rPr>
          <w:rFonts w:hint="eastAsia" w:ascii="宋体" w:hAnsi="宋体" w:eastAsia="宋体" w:cs="宋体"/>
          <w:b/>
          <w:sz w:val="32"/>
          <w:highlight w:val="none"/>
        </w:rPr>
      </w:pPr>
    </w:p>
    <w:p w14:paraId="78905CFF">
      <w:pPr>
        <w:spacing w:line="500" w:lineRule="exact"/>
        <w:ind w:left="360"/>
        <w:jc w:val="center"/>
        <w:rPr>
          <w:rFonts w:hint="eastAsia" w:ascii="宋体" w:hAnsi="宋体" w:eastAsia="宋体" w:cs="宋体"/>
          <w:b/>
          <w:sz w:val="32"/>
          <w:highlight w:val="none"/>
        </w:rPr>
      </w:pPr>
    </w:p>
    <w:p w14:paraId="6C38F271">
      <w:pPr>
        <w:spacing w:line="500" w:lineRule="exact"/>
        <w:ind w:left="360"/>
        <w:jc w:val="center"/>
        <w:rPr>
          <w:rFonts w:hint="eastAsia" w:ascii="宋体" w:hAnsi="宋体" w:eastAsia="宋体" w:cs="宋体"/>
          <w:sz w:val="32"/>
          <w:highlight w:val="none"/>
        </w:rPr>
      </w:pPr>
      <w:r>
        <w:rPr>
          <w:rFonts w:hint="eastAsia" w:ascii="宋体" w:hAnsi="宋体" w:eastAsia="宋体" w:cs="宋体"/>
          <w:b/>
          <w:sz w:val="32"/>
          <w:highlight w:val="none"/>
        </w:rPr>
        <w:t>二、采 购 文 件</w:t>
      </w:r>
    </w:p>
    <w:p w14:paraId="323F139B">
      <w:pPr>
        <w:spacing w:line="500" w:lineRule="exact"/>
        <w:rPr>
          <w:rFonts w:hint="eastAsia" w:ascii="宋体" w:hAnsi="宋体" w:eastAsia="宋体" w:cs="宋体"/>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.采购文件的构成</w:t>
      </w:r>
    </w:p>
    <w:p w14:paraId="7647CD4E">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.1 采购文件各章节的内容如下：</w:t>
      </w:r>
    </w:p>
    <w:p w14:paraId="27995D2C">
      <w:pPr>
        <w:snapToGrid w:val="0"/>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第一章  </w:t>
      </w:r>
      <w:r>
        <w:rPr>
          <w:rFonts w:hint="eastAsia" w:ascii="宋体" w:hAnsi="宋体" w:cs="宋体"/>
          <w:sz w:val="24"/>
          <w:highlight w:val="none"/>
          <w:lang w:val="en-US" w:eastAsia="zh-CN"/>
        </w:rPr>
        <w:t>采购</w:t>
      </w:r>
      <w:r>
        <w:rPr>
          <w:rFonts w:hint="eastAsia" w:ascii="宋体" w:hAnsi="宋体" w:eastAsia="宋体" w:cs="宋体"/>
          <w:sz w:val="24"/>
          <w:highlight w:val="none"/>
        </w:rPr>
        <w:t>公告</w:t>
      </w:r>
    </w:p>
    <w:p w14:paraId="1DEA37EE">
      <w:pPr>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02C3B528">
      <w:pPr>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第三章  采购项目需求</w:t>
      </w:r>
    </w:p>
    <w:p w14:paraId="6FDF9F57">
      <w:pPr>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r>
        <w:rPr>
          <w:rFonts w:hint="eastAsia" w:ascii="宋体" w:hAnsi="宋体" w:cs="宋体"/>
          <w:sz w:val="24"/>
          <w:highlight w:val="none"/>
          <w:lang w:val="en-US" w:eastAsia="zh-CN"/>
        </w:rPr>
        <w:t>采购</w:t>
      </w:r>
      <w:r>
        <w:rPr>
          <w:rFonts w:hint="eastAsia" w:ascii="宋体" w:hAnsi="宋体" w:eastAsia="宋体" w:cs="宋体"/>
          <w:sz w:val="24"/>
          <w:highlight w:val="none"/>
        </w:rPr>
        <w:t>程序及评审标准</w:t>
      </w:r>
    </w:p>
    <w:p w14:paraId="75BD4B6B">
      <w:pPr>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章  响应文件格式</w:t>
      </w:r>
    </w:p>
    <w:p w14:paraId="1019226F">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.2供应商应仔细阅读采购文件的全部内容，按照采购文件要求编制响应文件。任何对采购文件的忽略或误解不能作为响应文件存在缺陷或瑕疵的理由，其风险由供应商承担。</w:t>
      </w:r>
    </w:p>
    <w:p w14:paraId="0BB8D3FD">
      <w:pPr>
        <w:spacing w:line="500" w:lineRule="exact"/>
        <w:rPr>
          <w:rFonts w:hint="eastAsia" w:ascii="宋体" w:hAnsi="宋体" w:eastAsia="宋体" w:cs="宋体"/>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.采购文件的澄清或修改</w:t>
      </w:r>
    </w:p>
    <w:p w14:paraId="7F0037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5C6A04E4">
      <w:pPr>
        <w:snapToGrid w:val="0"/>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.偏离</w:t>
      </w:r>
    </w:p>
    <w:p w14:paraId="10CE5DC6">
      <w:pPr>
        <w:snapToGrid w:val="0"/>
        <w:spacing w:line="500" w:lineRule="exact"/>
        <w:rPr>
          <w:rFonts w:hint="eastAsia" w:ascii="宋体" w:hAnsi="宋体" w:eastAsia="宋体" w:cs="宋体"/>
          <w:sz w:val="24"/>
          <w:highlight w:val="none"/>
        </w:rPr>
      </w:pPr>
      <w:r>
        <w:rPr>
          <w:rFonts w:hint="eastAsia" w:ascii="宋体" w:hAnsi="宋体" w:cs="宋体"/>
          <w:sz w:val="24"/>
          <w:highlight w:val="none"/>
          <w:lang w:val="en-US" w:eastAsia="zh-CN"/>
        </w:rPr>
        <w:t>8.1</w:t>
      </w:r>
      <w:r>
        <w:rPr>
          <w:rFonts w:hint="eastAsia" w:ascii="宋体" w:hAnsi="宋体" w:eastAsia="宋体" w:cs="宋体"/>
          <w:sz w:val="24"/>
          <w:highlight w:val="none"/>
        </w:rPr>
        <w:t>本款所称偏离为响应文件对采购文件的偏离，即不满足或不响应采购文件的要求。</w:t>
      </w:r>
    </w:p>
    <w:p w14:paraId="0955136D">
      <w:pPr>
        <w:spacing w:line="500" w:lineRule="exact"/>
        <w:ind w:left="360"/>
        <w:jc w:val="center"/>
        <w:rPr>
          <w:rFonts w:hint="eastAsia" w:ascii="宋体" w:hAnsi="宋体" w:eastAsia="宋体" w:cs="宋体"/>
          <w:sz w:val="32"/>
          <w:highlight w:val="none"/>
        </w:rPr>
      </w:pPr>
      <w:r>
        <w:rPr>
          <w:rFonts w:hint="eastAsia" w:ascii="宋体" w:hAnsi="宋体" w:eastAsia="宋体" w:cs="宋体"/>
          <w:b/>
          <w:sz w:val="32"/>
          <w:highlight w:val="none"/>
        </w:rPr>
        <w:t>三、响应文件的编制</w:t>
      </w:r>
    </w:p>
    <w:p w14:paraId="474703D1">
      <w:pPr>
        <w:spacing w:line="500" w:lineRule="exact"/>
        <w:rPr>
          <w:rFonts w:hint="eastAsia" w:ascii="宋体" w:hAnsi="宋体" w:eastAsia="宋体" w:cs="宋体"/>
          <w:sz w:val="24"/>
          <w:highlight w:val="none"/>
        </w:rPr>
      </w:pPr>
      <w:r>
        <w:rPr>
          <w:rFonts w:hint="eastAsia" w:ascii="宋体" w:hAnsi="宋体" w:eastAsia="宋体" w:cs="宋体"/>
          <w:b/>
          <w:sz w:val="24"/>
          <w:highlight w:val="none"/>
          <w:lang w:val="en-US" w:eastAsia="zh-CN"/>
        </w:rPr>
        <w:t>9</w:t>
      </w:r>
      <w:r>
        <w:rPr>
          <w:rFonts w:hint="eastAsia" w:ascii="宋体" w:hAnsi="宋体" w:eastAsia="宋体" w:cs="宋体"/>
          <w:b/>
          <w:sz w:val="24"/>
          <w:highlight w:val="none"/>
        </w:rPr>
        <w:t>．投标的语言</w:t>
      </w:r>
    </w:p>
    <w:p w14:paraId="418D60A0">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.1 供应商提交的响应文件及供应商与采购人就有关投标的所有来往函电均使用中文。供应商可以提交其他语言的资料，但应附有中文注释，有差异时以中文为准。</w:t>
      </w:r>
    </w:p>
    <w:p w14:paraId="18D836C1">
      <w:pPr>
        <w:spacing w:line="500" w:lineRule="exact"/>
        <w:rPr>
          <w:rFonts w:hint="eastAsia" w:ascii="宋体" w:hAnsi="宋体" w:eastAsia="宋体" w:cs="宋体"/>
          <w:sz w:val="24"/>
          <w:highlight w:val="none"/>
        </w:rPr>
      </w:pP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．响应文件构成</w:t>
      </w:r>
    </w:p>
    <w:p w14:paraId="73147512">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highlight w:val="none"/>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59BD0BD6">
      <w:pPr>
        <w:spacing w:line="500" w:lineRule="exact"/>
        <w:rPr>
          <w:rFonts w:hint="eastAsia" w:ascii="宋体" w:hAnsi="宋体" w:eastAsia="宋体" w:cs="宋体"/>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.投标报价</w:t>
      </w:r>
    </w:p>
    <w:p w14:paraId="159B5846">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.1供应商应按采购文件规定的供货及服务要求、责任范围和合同条件，以人民币进行报价。本项目投标报价要求详见</w:t>
      </w:r>
      <w:r>
        <w:rPr>
          <w:rFonts w:hint="eastAsia" w:ascii="宋体" w:hAnsi="宋体" w:eastAsia="宋体" w:cs="宋体"/>
          <w:b/>
          <w:sz w:val="24"/>
          <w:highlight w:val="none"/>
        </w:rPr>
        <w:t>供应商须知前附表</w:t>
      </w:r>
      <w:r>
        <w:rPr>
          <w:rFonts w:hint="eastAsia" w:ascii="宋体" w:hAnsi="宋体" w:eastAsia="宋体" w:cs="宋体"/>
          <w:sz w:val="24"/>
          <w:highlight w:val="none"/>
        </w:rPr>
        <w:t>。</w:t>
      </w:r>
    </w:p>
    <w:p w14:paraId="466409B9">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.2供应商应按开标一览表和分项价格表的内容和格式要求填写各项货物及服务的分项价格和总价。</w:t>
      </w:r>
    </w:p>
    <w:p w14:paraId="6FA72FC9">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.3除</w:t>
      </w:r>
      <w:r>
        <w:rPr>
          <w:rFonts w:hint="eastAsia" w:ascii="宋体" w:hAnsi="宋体" w:eastAsia="宋体" w:cs="宋体"/>
          <w:b/>
          <w:sz w:val="24"/>
          <w:highlight w:val="none"/>
        </w:rPr>
        <w:t>供应商须知前附表</w:t>
      </w:r>
      <w:r>
        <w:rPr>
          <w:rFonts w:hint="eastAsia" w:ascii="宋体" w:hAnsi="宋体" w:eastAsia="宋体" w:cs="宋体"/>
          <w:sz w:val="24"/>
          <w:highlight w:val="none"/>
        </w:rPr>
        <w:t>允许提交备选方案外，供应商对每种货物及服务只允许有一个报价，不接受可变动性报价，否则，在评标时将其视为无效投标。</w:t>
      </w:r>
    </w:p>
    <w:p w14:paraId="5FDDE324">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.4供应商之间不得相互串通投标报价，不得妨碍其他供应商的公平竞争，不得损害采购采购单位或者其他供应商的合法权益。</w:t>
      </w:r>
    </w:p>
    <w:p w14:paraId="085D7AA0">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．投标有效期</w:t>
      </w:r>
    </w:p>
    <w:p w14:paraId="3F69F53D">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1投标有效期见</w:t>
      </w:r>
      <w:r>
        <w:rPr>
          <w:rFonts w:hint="eastAsia" w:ascii="宋体" w:hAnsi="宋体" w:eastAsia="宋体" w:cs="宋体"/>
          <w:b/>
          <w:sz w:val="24"/>
          <w:highlight w:val="none"/>
        </w:rPr>
        <w:t>供应商须知前附</w:t>
      </w:r>
      <w:r>
        <w:rPr>
          <w:rFonts w:hint="eastAsia" w:ascii="宋体" w:hAnsi="宋体" w:eastAsia="宋体" w:cs="宋体"/>
          <w:sz w:val="24"/>
          <w:highlight w:val="none"/>
        </w:rPr>
        <w:t>表，在此期间响应文件对供应商具有法律约束力，以保证采购人有足够的时间完成评标、定标以及签订合同。投标有效期从投标截止之日起开始计算。投标有效期不足的，在评标时将视为无效投标。</w:t>
      </w:r>
    </w:p>
    <w:p w14:paraId="7D0A2DA4">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6D954A2D">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．响应文件的式样和签署</w:t>
      </w:r>
    </w:p>
    <w:p w14:paraId="32E0CE71">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.1 供应商应按</w:t>
      </w:r>
      <w:r>
        <w:rPr>
          <w:rFonts w:hint="eastAsia" w:ascii="宋体" w:hAnsi="宋体" w:eastAsia="宋体" w:cs="宋体"/>
          <w:b/>
          <w:sz w:val="24"/>
          <w:highlight w:val="none"/>
        </w:rPr>
        <w:t>供应商须知前附表</w:t>
      </w:r>
      <w:r>
        <w:rPr>
          <w:rFonts w:hint="eastAsia" w:ascii="宋体" w:hAnsi="宋体" w:eastAsia="宋体" w:cs="宋体"/>
          <w:sz w:val="24"/>
          <w:highlight w:val="none"/>
        </w:rPr>
        <w:t>要求的份数准备响应文件，正本和副本的封面应注明“正本”或“副本”的字样。若副本与正本不符，以正本为准。</w:t>
      </w:r>
    </w:p>
    <w:p w14:paraId="3D60C061">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30BCA04A">
      <w:pPr>
        <w:spacing w:line="500" w:lineRule="exact"/>
        <w:ind w:left="734" w:hanging="734" w:hangingChars="306"/>
        <w:rPr>
          <w:rFonts w:hint="eastAsia" w:ascii="宋体" w:hAnsi="宋体" w:eastAsia="宋体" w:cs="宋体"/>
          <w:sz w:val="24"/>
          <w:highlight w:val="none"/>
        </w:rPr>
      </w:pPr>
    </w:p>
    <w:p w14:paraId="1CF6EA45">
      <w:pPr>
        <w:spacing w:line="500" w:lineRule="exact"/>
        <w:jc w:val="center"/>
        <w:rPr>
          <w:rFonts w:hint="eastAsia" w:ascii="宋体" w:hAnsi="宋体" w:eastAsia="宋体" w:cs="宋体"/>
          <w:b/>
          <w:sz w:val="32"/>
          <w:highlight w:val="none"/>
        </w:rPr>
      </w:pPr>
      <w:r>
        <w:rPr>
          <w:rFonts w:hint="eastAsia" w:ascii="宋体" w:hAnsi="宋体" w:eastAsia="宋体" w:cs="宋体"/>
          <w:b/>
          <w:sz w:val="32"/>
          <w:highlight w:val="none"/>
        </w:rPr>
        <w:t>四、响应文件的递交</w:t>
      </w:r>
    </w:p>
    <w:p w14:paraId="24287882">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．响应文件的密封和标记</w:t>
      </w:r>
    </w:p>
    <w:p w14:paraId="24213CE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.1供应商应将响应文件正本和所有的副本统一密封在同一个封套中。如一个密封套装不下时，可分几个来装。</w:t>
      </w:r>
    </w:p>
    <w:p w14:paraId="6062E33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.2封套上应注明：</w:t>
      </w:r>
    </w:p>
    <w:p w14:paraId="11A75DF7">
      <w:pPr>
        <w:spacing w:line="500" w:lineRule="exact"/>
        <w:rPr>
          <w:rFonts w:hint="eastAsia" w:ascii="宋体" w:hAnsi="宋体" w:eastAsia="宋体" w:cs="宋体"/>
          <w:sz w:val="24"/>
          <w:highlight w:val="none"/>
        </w:rPr>
      </w:pPr>
      <w:r>
        <w:rPr>
          <w:rFonts w:hint="eastAsia" w:ascii="宋体" w:hAnsi="宋体" w:eastAsia="宋体" w:cs="宋体"/>
          <w:sz w:val="24"/>
          <w:highlight w:val="none"/>
          <w:u w:val="single"/>
        </w:rPr>
        <w:t>（项目名称）（包号/标段号）</w:t>
      </w:r>
      <w:r>
        <w:rPr>
          <w:rFonts w:hint="eastAsia" w:ascii="宋体" w:hAnsi="宋体" w:eastAsia="宋体" w:cs="宋体"/>
          <w:sz w:val="24"/>
          <w:highlight w:val="none"/>
        </w:rPr>
        <w:t>响应文件</w:t>
      </w:r>
    </w:p>
    <w:p w14:paraId="6F93D6C7">
      <w:pPr>
        <w:spacing w:line="500" w:lineRule="exact"/>
        <w:rPr>
          <w:rFonts w:hint="eastAsia" w:ascii="宋体" w:hAnsi="宋体" w:eastAsia="宋体" w:cs="宋体"/>
          <w:sz w:val="24"/>
          <w:highlight w:val="none"/>
        </w:rPr>
      </w:pPr>
      <w:r>
        <w:rPr>
          <w:rFonts w:hint="eastAsia" w:ascii="宋体" w:hAnsi="宋体" w:eastAsia="宋体" w:cs="宋体"/>
          <w:sz w:val="24"/>
          <w:highlight w:val="none"/>
        </w:rPr>
        <w:t>采购编号：</w:t>
      </w:r>
      <w:r>
        <w:rPr>
          <w:rFonts w:hint="eastAsia" w:ascii="宋体" w:hAnsi="宋体" w:eastAsia="宋体" w:cs="宋体"/>
          <w:sz w:val="24"/>
          <w:highlight w:val="none"/>
          <w:u w:val="single"/>
        </w:rPr>
        <w:t xml:space="preserve">            </w:t>
      </w:r>
    </w:p>
    <w:p w14:paraId="31503336">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p>
    <w:p w14:paraId="4F263071">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供应商地址：</w:t>
      </w:r>
      <w:r>
        <w:rPr>
          <w:rFonts w:hint="eastAsia" w:ascii="宋体" w:hAnsi="宋体" w:eastAsia="宋体" w:cs="宋体"/>
          <w:sz w:val="24"/>
          <w:highlight w:val="none"/>
          <w:u w:val="single"/>
        </w:rPr>
        <w:t xml:space="preserve">           </w:t>
      </w:r>
    </w:p>
    <w:p w14:paraId="0297FEE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.3如果封套未按本须知第1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.1、1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.2条要求加写标记和密封，</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对误投或提前启封概不负责。</w:t>
      </w:r>
    </w:p>
    <w:p w14:paraId="228CACA3">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.响应文件递交地点及投标截止时间</w:t>
      </w:r>
    </w:p>
    <w:p w14:paraId="6DECAE3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.1供应商应在规定的截止日期和时间将响应文件</w:t>
      </w:r>
      <w:r>
        <w:rPr>
          <w:rFonts w:hint="eastAsia" w:ascii="宋体" w:hAnsi="宋体" w:eastAsia="宋体" w:cs="宋体"/>
          <w:sz w:val="24"/>
          <w:highlight w:val="none"/>
          <w:lang w:val="en-US" w:eastAsia="zh-CN"/>
        </w:rPr>
        <w:t>密封后</w:t>
      </w:r>
      <w:r>
        <w:rPr>
          <w:rFonts w:hint="eastAsia" w:ascii="宋体" w:hAnsi="宋体" w:eastAsia="宋体" w:cs="宋体"/>
          <w:sz w:val="24"/>
          <w:highlight w:val="none"/>
        </w:rPr>
        <w:t>递交至</w:t>
      </w:r>
      <w:r>
        <w:rPr>
          <w:rFonts w:hint="eastAsia" w:ascii="宋体" w:hAnsi="宋体" w:eastAsia="宋体" w:cs="宋体"/>
          <w:sz w:val="24"/>
          <w:highlight w:val="none"/>
          <w:lang w:val="en-US" w:eastAsia="zh-CN"/>
        </w:rPr>
        <w:t>围场县医院采购中心</w:t>
      </w:r>
      <w:r>
        <w:rPr>
          <w:rFonts w:hint="eastAsia" w:ascii="宋体" w:hAnsi="宋体" w:eastAsia="宋体" w:cs="宋体"/>
          <w:sz w:val="24"/>
          <w:highlight w:val="none"/>
        </w:rPr>
        <w:t>。</w:t>
      </w:r>
    </w:p>
    <w:p w14:paraId="5AC2D838">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．迟交的响应文件</w:t>
      </w:r>
    </w:p>
    <w:p w14:paraId="351677F8">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将拒绝并原封退回本须知第1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条规定的截止期后收到的任何响应文件。</w:t>
      </w:r>
    </w:p>
    <w:p w14:paraId="2643765B">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．响应文件的修改和撤回</w:t>
      </w:r>
    </w:p>
    <w:p w14:paraId="1E0F71BC">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.1供应商在递交响应文件后，可以修改或撤回其投标，但供应商必须在规定的投标截止期之前将修改或撤回的书面通知递交到采购</w:t>
      </w:r>
      <w:r>
        <w:rPr>
          <w:rFonts w:hint="eastAsia" w:ascii="宋体" w:hAnsi="宋体" w:eastAsia="宋体" w:cs="宋体"/>
          <w:sz w:val="24"/>
          <w:highlight w:val="none"/>
          <w:lang w:val="en-US" w:eastAsia="zh-CN"/>
        </w:rPr>
        <w:t>人</w:t>
      </w:r>
      <w:r>
        <w:rPr>
          <w:rFonts w:hint="eastAsia" w:ascii="宋体" w:hAnsi="宋体" w:eastAsia="宋体" w:cs="宋体"/>
          <w:sz w:val="24"/>
          <w:highlight w:val="none"/>
        </w:rPr>
        <w:t>。</w:t>
      </w:r>
    </w:p>
    <w:p w14:paraId="1AD45D18">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.2供应商的修改或撤回通知应按本须知第1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条规定编制、密封、标记和递交。</w:t>
      </w:r>
    </w:p>
    <w:p w14:paraId="5FF4C9A2">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.3在投标截止期之后，供应商不得对其响应文件做任何修改。</w:t>
      </w:r>
    </w:p>
    <w:p w14:paraId="0FB96C6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.4从投标截止期至供应商在响应文件中确定的投标有效期期满这段时间内，供应商不得撤回其投标。</w:t>
      </w:r>
    </w:p>
    <w:p w14:paraId="64F645F4">
      <w:pPr>
        <w:spacing w:line="500" w:lineRule="exact"/>
        <w:jc w:val="center"/>
        <w:rPr>
          <w:rFonts w:hint="eastAsia" w:ascii="宋体" w:hAnsi="宋体" w:eastAsia="宋体" w:cs="宋体"/>
          <w:b/>
          <w:sz w:val="32"/>
          <w:highlight w:val="none"/>
        </w:rPr>
      </w:pPr>
    </w:p>
    <w:p w14:paraId="58D041BF">
      <w:pPr>
        <w:spacing w:line="500" w:lineRule="exact"/>
        <w:jc w:val="center"/>
        <w:rPr>
          <w:rFonts w:hint="eastAsia" w:ascii="宋体" w:hAnsi="宋体" w:eastAsia="宋体" w:cs="宋体"/>
          <w:b/>
          <w:sz w:val="32"/>
          <w:highlight w:val="none"/>
        </w:rPr>
      </w:pPr>
      <w:r>
        <w:rPr>
          <w:rFonts w:hint="eastAsia" w:ascii="宋体" w:hAnsi="宋体" w:eastAsia="宋体" w:cs="宋体"/>
          <w:b/>
          <w:sz w:val="32"/>
          <w:highlight w:val="none"/>
        </w:rPr>
        <w:t>五、开标与评标</w:t>
      </w:r>
    </w:p>
    <w:p w14:paraId="5AB92BC9">
      <w:pPr>
        <w:spacing w:line="5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18</w:t>
      </w:r>
      <w:r>
        <w:rPr>
          <w:rFonts w:hint="eastAsia" w:ascii="宋体" w:hAnsi="宋体" w:eastAsia="宋体" w:cs="宋体"/>
          <w:b/>
          <w:sz w:val="24"/>
          <w:highlight w:val="none"/>
        </w:rPr>
        <w:t>.开标</w:t>
      </w:r>
    </w:p>
    <w:p w14:paraId="5AE3EE3F">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18</w:t>
      </w:r>
      <w:r>
        <w:rPr>
          <w:rFonts w:hint="eastAsia" w:ascii="宋体" w:hAnsi="宋体" w:eastAsia="宋体" w:cs="宋体"/>
          <w:sz w:val="24"/>
          <w:highlight w:val="none"/>
        </w:rPr>
        <w:t>.1开标应当在采购文件</w:t>
      </w:r>
      <w:r>
        <w:rPr>
          <w:rFonts w:hint="eastAsia" w:ascii="宋体" w:hAnsi="宋体" w:eastAsia="宋体" w:cs="宋体"/>
          <w:b/>
          <w:sz w:val="24"/>
          <w:highlight w:val="none"/>
        </w:rPr>
        <w:t>供应商须知前附表</w:t>
      </w:r>
      <w:r>
        <w:rPr>
          <w:rFonts w:hint="eastAsia" w:ascii="宋体" w:hAnsi="宋体" w:eastAsia="宋体" w:cs="宋体"/>
          <w:sz w:val="24"/>
          <w:highlight w:val="none"/>
        </w:rPr>
        <w:t>中规定的日期、时间和地点公开进行。</w:t>
      </w:r>
    </w:p>
    <w:p w14:paraId="6A9BC09C">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18</w:t>
      </w:r>
      <w:r>
        <w:rPr>
          <w:rFonts w:hint="eastAsia" w:ascii="宋体" w:hAnsi="宋体" w:eastAsia="宋体" w:cs="宋体"/>
          <w:sz w:val="24"/>
          <w:highlight w:val="none"/>
        </w:rPr>
        <w:t>.2开标时，应当由</w:t>
      </w:r>
      <w:r>
        <w:rPr>
          <w:rFonts w:hint="eastAsia" w:ascii="宋体" w:hAnsi="宋体" w:eastAsia="宋体" w:cs="宋体"/>
          <w:sz w:val="24"/>
          <w:highlight w:val="none"/>
          <w:lang w:val="en-US" w:eastAsia="zh-CN"/>
        </w:rPr>
        <w:t>纪检人员及评委</w:t>
      </w:r>
      <w:r>
        <w:rPr>
          <w:rFonts w:hint="eastAsia" w:ascii="宋体" w:hAnsi="宋体" w:eastAsia="宋体" w:cs="宋体"/>
          <w:sz w:val="24"/>
          <w:highlight w:val="none"/>
        </w:rPr>
        <w:t>经确认无误后当众拆封，宣读供应商名称、修改和撤回投标的通知、投标价格、折扣声明、交货期等内容。</w:t>
      </w:r>
    </w:p>
    <w:p w14:paraId="278CCDF6">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18</w:t>
      </w:r>
      <w:r>
        <w:rPr>
          <w:rFonts w:hint="eastAsia" w:ascii="宋体" w:hAnsi="宋体" w:eastAsia="宋体" w:cs="宋体"/>
          <w:sz w:val="24"/>
          <w:highlight w:val="none"/>
        </w:rPr>
        <w:t>.3在开标时没有启封和读出的响应文件将原封退回给供应商。</w:t>
      </w:r>
    </w:p>
    <w:p w14:paraId="6DF96FE4">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18</w:t>
      </w:r>
      <w:r>
        <w:rPr>
          <w:rFonts w:hint="eastAsia" w:ascii="宋体" w:hAnsi="宋体" w:eastAsia="宋体" w:cs="宋体"/>
          <w:sz w:val="24"/>
          <w:highlight w:val="none"/>
        </w:rPr>
        <w:t>.4 开标过程应当专人负责记录，并存档备查。</w:t>
      </w:r>
    </w:p>
    <w:p w14:paraId="094D08E2">
      <w:pPr>
        <w:spacing w:line="5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19</w:t>
      </w:r>
      <w:r>
        <w:rPr>
          <w:rFonts w:hint="eastAsia" w:ascii="宋体" w:hAnsi="宋体" w:eastAsia="宋体" w:cs="宋体"/>
          <w:b/>
          <w:sz w:val="24"/>
          <w:highlight w:val="none"/>
        </w:rPr>
        <w:t>. 组建评标委员会</w:t>
      </w:r>
    </w:p>
    <w:p w14:paraId="01AC4154">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19</w:t>
      </w:r>
      <w:r>
        <w:rPr>
          <w:rFonts w:hint="eastAsia" w:ascii="宋体" w:hAnsi="宋体" w:eastAsia="宋体" w:cs="宋体"/>
          <w:sz w:val="24"/>
          <w:highlight w:val="none"/>
        </w:rPr>
        <w:t>.1具体评标事务由采购人依法组建的评标委员会负责</w:t>
      </w:r>
      <w:r>
        <w:rPr>
          <w:rFonts w:hint="eastAsia" w:ascii="宋体" w:hAnsi="宋体" w:eastAsia="宋体" w:cs="宋体"/>
          <w:sz w:val="24"/>
          <w:highlight w:val="none"/>
          <w:lang w:eastAsia="zh-CN"/>
        </w:rPr>
        <w:t>，</w:t>
      </w:r>
      <w:r>
        <w:rPr>
          <w:rFonts w:hint="eastAsia" w:ascii="宋体" w:hAnsi="宋体" w:eastAsia="宋体" w:cs="宋体"/>
          <w:sz w:val="24"/>
          <w:highlight w:val="none"/>
        </w:rPr>
        <w:t>成员人数为3人以上单数（含3人）。</w:t>
      </w:r>
    </w:p>
    <w:p w14:paraId="39AAFAE4">
      <w:pPr>
        <w:spacing w:line="500" w:lineRule="exact"/>
        <w:rPr>
          <w:rFonts w:hint="eastAsia" w:ascii="宋体" w:hAnsi="宋体" w:eastAsia="宋体" w:cs="宋体"/>
          <w:b/>
          <w:sz w:val="24"/>
          <w:highlight w:val="none"/>
        </w:rPr>
      </w:pPr>
      <w:r>
        <w:rPr>
          <w:rFonts w:hint="eastAsia" w:ascii="宋体" w:hAnsi="宋体" w:eastAsia="宋体" w:cs="宋体"/>
          <w:sz w:val="24"/>
          <w:highlight w:val="none"/>
          <w:lang w:val="en-US" w:eastAsia="zh-CN"/>
        </w:rPr>
        <w:t>19</w:t>
      </w:r>
      <w:r>
        <w:rPr>
          <w:rFonts w:hint="eastAsia" w:ascii="宋体" w:hAnsi="宋体" w:eastAsia="宋体" w:cs="宋体"/>
          <w:sz w:val="24"/>
          <w:highlight w:val="none"/>
        </w:rPr>
        <w:t>.2评标委员会将按照</w:t>
      </w:r>
      <w:r>
        <w:rPr>
          <w:rFonts w:hint="eastAsia" w:ascii="宋体" w:hAnsi="宋体" w:eastAsia="宋体" w:cs="宋体"/>
          <w:b/>
          <w:sz w:val="24"/>
          <w:highlight w:val="none"/>
        </w:rPr>
        <w:t>供应商须知前附表</w:t>
      </w:r>
      <w:r>
        <w:rPr>
          <w:rFonts w:hint="eastAsia" w:ascii="宋体" w:hAnsi="宋体" w:eastAsia="宋体" w:cs="宋体"/>
          <w:sz w:val="24"/>
          <w:highlight w:val="none"/>
        </w:rPr>
        <w:t>中确定的评标方法和评标标准对响应文件进行评审和比较。</w:t>
      </w:r>
    </w:p>
    <w:p w14:paraId="4D92E3BE">
      <w:pPr>
        <w:spacing w:line="5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20</w:t>
      </w:r>
      <w:r>
        <w:rPr>
          <w:rFonts w:hint="eastAsia" w:ascii="宋体" w:hAnsi="宋体" w:eastAsia="宋体" w:cs="宋体"/>
          <w:b/>
          <w:sz w:val="24"/>
          <w:highlight w:val="none"/>
        </w:rPr>
        <w:t>.响应文件的初审</w:t>
      </w:r>
    </w:p>
    <w:p w14:paraId="240D3BA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.1响应文件的初审分为资格性检查和符合性检查。</w:t>
      </w:r>
    </w:p>
    <w:p w14:paraId="1F57A5C5">
      <w:pPr>
        <w:spacing w:line="500" w:lineRule="exact"/>
        <w:rPr>
          <w:rFonts w:hint="eastAsia" w:ascii="宋体" w:hAnsi="宋体" w:eastAsia="宋体" w:cs="宋体"/>
          <w:sz w:val="24"/>
          <w:highlight w:val="none"/>
        </w:rPr>
      </w:pPr>
      <w:r>
        <w:rPr>
          <w:rFonts w:hint="eastAsia" w:ascii="宋体" w:hAnsi="宋体" w:eastAsia="宋体" w:cs="宋体"/>
          <w:sz w:val="24"/>
          <w:highlight w:val="none"/>
        </w:rPr>
        <w:t>资格性检查</w:t>
      </w:r>
      <w:r>
        <w:rPr>
          <w:rFonts w:hint="eastAsia" w:ascii="宋体" w:hAnsi="宋体" w:cs="宋体"/>
          <w:sz w:val="24"/>
          <w:highlight w:val="none"/>
          <w:lang w:eastAsia="zh-CN"/>
        </w:rPr>
        <w:t>：</w:t>
      </w:r>
      <w:r>
        <w:rPr>
          <w:rFonts w:hint="eastAsia" w:ascii="宋体" w:hAnsi="宋体" w:eastAsia="宋体" w:cs="宋体"/>
          <w:sz w:val="24"/>
          <w:highlight w:val="none"/>
        </w:rPr>
        <w:t>对响应文件中的资格证明等进行审查，以确定供应商是否具备投标资格。</w:t>
      </w:r>
    </w:p>
    <w:p w14:paraId="17525BB2">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符合性检查</w:t>
      </w:r>
      <w:r>
        <w:rPr>
          <w:rFonts w:hint="eastAsia" w:ascii="宋体" w:hAnsi="宋体" w:cs="宋体"/>
          <w:sz w:val="24"/>
          <w:highlight w:val="none"/>
          <w:lang w:eastAsia="zh-CN"/>
        </w:rPr>
        <w:t>：</w:t>
      </w:r>
      <w:r>
        <w:rPr>
          <w:rFonts w:hint="eastAsia" w:ascii="宋体" w:hAnsi="宋体" w:eastAsia="宋体" w:cs="宋体"/>
          <w:sz w:val="24"/>
          <w:highlight w:val="none"/>
        </w:rPr>
        <w:t>依据采购文件的规定，从响应文件的有效性、完整性和对采购文件的响应程度进行审查，以确定是否对采购文件的实质性要求作出响应。</w:t>
      </w:r>
    </w:p>
    <w:p w14:paraId="0ACC6DA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.2供应商有下列情形之一的，应在资格性、符合性检查时按照无效投标处理：</w:t>
      </w:r>
    </w:p>
    <w:p w14:paraId="6FE667A1">
      <w:pPr>
        <w:numPr>
          <w:ilvl w:val="0"/>
          <w:numId w:val="1"/>
        </w:num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投标有效期不满足采购文件要求的；</w:t>
      </w:r>
    </w:p>
    <w:p w14:paraId="401BE12E">
      <w:pPr>
        <w:spacing w:line="500" w:lineRule="exact"/>
        <w:rPr>
          <w:rFonts w:hint="eastAsia"/>
          <w:highlight w:val="none"/>
        </w:rPr>
      </w:pPr>
      <w:r>
        <w:rPr>
          <w:rFonts w:hint="eastAsia" w:ascii="宋体" w:hAnsi="宋体" w:eastAsia="宋体" w:cs="宋体"/>
          <w:b/>
          <w:sz w:val="24"/>
          <w:highlight w:val="none"/>
        </w:rPr>
        <w:t>（2）供应商不按评标委员会要求澄清、说明或补正的。</w:t>
      </w:r>
    </w:p>
    <w:p w14:paraId="41B55D0D">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（3）供应商资格不满足采购文件要求或资格证明文件未按采购文件要求提供的；</w:t>
      </w:r>
    </w:p>
    <w:p w14:paraId="6D5AA535">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（4）响应文件未按采购文件要求盖章或签字的；</w:t>
      </w:r>
    </w:p>
    <w:p w14:paraId="1167793C">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（5）投标报价高于本项目预算金额的；</w:t>
      </w:r>
    </w:p>
    <w:p w14:paraId="43B6AFBB">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（6）未按采购文件格式编写响应文件的；</w:t>
      </w:r>
    </w:p>
    <w:p w14:paraId="69C310F5">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（7）响应文件中提供虚假或失实资料的；</w:t>
      </w:r>
    </w:p>
    <w:p w14:paraId="4858C199">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（8）供应商以明显低于成本价的价格恶意参与投标的；</w:t>
      </w:r>
    </w:p>
    <w:p w14:paraId="71FA11D0">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（9）响应文件不满足采购文件技术要求中重要参数要求的；</w:t>
      </w:r>
    </w:p>
    <w:p w14:paraId="56656699">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（10）响应文件附有采购人不能接受的条件的。</w:t>
      </w:r>
    </w:p>
    <w:p w14:paraId="7A51273A">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（11）供应商串通投标或弄虚作假或有其他违法行为的；</w:t>
      </w:r>
    </w:p>
    <w:p w14:paraId="00DB0070">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．核价原则</w:t>
      </w:r>
    </w:p>
    <w:p w14:paraId="7E466C2C">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.1响应文件中开标一览表内容与响应文件中明细表内容不一致的，以开标一览表为准。</w:t>
      </w:r>
    </w:p>
    <w:p w14:paraId="1382DD9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.2响应文件的大写金额和小写金额不一致的，以大写金额为准。</w:t>
      </w:r>
    </w:p>
    <w:p w14:paraId="1E6DB0F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.3总价金额与按单价汇总金额不一致的，以单价金额计算结果为准。</w:t>
      </w:r>
    </w:p>
    <w:p w14:paraId="3C910428">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.4单价金额小数点有明显错误的，应以总价为准，并修改单价。</w:t>
      </w:r>
    </w:p>
    <w:p w14:paraId="6AF3D4E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.5对不同文字文本响应文件的解释发生异议的，以中文文本为准。</w:t>
      </w:r>
    </w:p>
    <w:p w14:paraId="106FE03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.6评标委员会将按上述修正错误的方法调整响应文件中的投标报价，调整后的价格应对供应商具有约束力。供应商不同意以上修正的，其投标作无效投标处理。</w:t>
      </w:r>
    </w:p>
    <w:p w14:paraId="24181728">
      <w:pPr>
        <w:spacing w:line="500" w:lineRule="exact"/>
        <w:rPr>
          <w:rFonts w:hint="eastAsia" w:ascii="宋体" w:hAnsi="宋体" w:eastAsia="宋体" w:cs="宋体"/>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．响应文件的澄清</w:t>
      </w:r>
    </w:p>
    <w:p w14:paraId="0FAE15AE">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7709B5D2">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.2供应商的澄清、说明或者补正应该采用书面形式，由法定代表人或其授权的代理人签字，并按评标委员会的通知要求递交。</w:t>
      </w:r>
    </w:p>
    <w:p w14:paraId="55209CA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.3有效的书面澄清材料，是响应文件的补充材料，成为响应文件的组成部分。</w:t>
      </w:r>
    </w:p>
    <w:p w14:paraId="2F5E25A3">
      <w:pPr>
        <w:snapToGrid w:val="0"/>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 响应文件的比较与评价</w:t>
      </w:r>
    </w:p>
    <w:p w14:paraId="449A486E">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评标委员会应按照采购文件中规定的评标方法和标准，对资格性检查和符合性检查合格的响应文件进行价格评审。</w:t>
      </w:r>
    </w:p>
    <w:p w14:paraId="725BA056">
      <w:pPr>
        <w:snapToGrid w:val="0"/>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．推荐成交候选人名单</w:t>
      </w:r>
    </w:p>
    <w:p w14:paraId="7E1C5D1F">
      <w:pPr>
        <w:snapToGrid w:val="0"/>
        <w:spacing w:line="500" w:lineRule="exact"/>
        <w:rPr>
          <w:rFonts w:hint="eastAsia" w:ascii="宋体" w:hAnsi="宋体" w:eastAsia="宋体" w:cs="宋体"/>
          <w:sz w:val="24"/>
          <w:szCs w:val="22"/>
          <w:highlight w:val="none"/>
        </w:rPr>
      </w:pPr>
      <w:r>
        <w:rPr>
          <w:rFonts w:hint="eastAsia" w:ascii="宋体" w:hAnsi="宋体" w:eastAsia="宋体" w:cs="宋体"/>
          <w:sz w:val="24"/>
          <w:highlight w:val="none"/>
        </w:rPr>
        <w:t>评标委员会</w:t>
      </w:r>
      <w:r>
        <w:rPr>
          <w:rFonts w:hint="eastAsia" w:ascii="宋体" w:hAnsi="宋体" w:eastAsia="宋体" w:cs="宋体"/>
          <w:sz w:val="24"/>
          <w:szCs w:val="22"/>
          <w:highlight w:val="none"/>
        </w:rPr>
        <w:t>应当从质量和服务均能满足采购文件实质性响应要求的供应商中，按照报价由低到高的顺序提出成交候选人。</w:t>
      </w:r>
    </w:p>
    <w:p w14:paraId="0F2E7C04">
      <w:pPr>
        <w:spacing w:line="500" w:lineRule="exact"/>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．注意事项</w:t>
      </w:r>
    </w:p>
    <w:p w14:paraId="7649C78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.1评标是采购工作的重要环节，评标工作在评标委员会内独立进行。</w:t>
      </w:r>
    </w:p>
    <w:p w14:paraId="450053A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.2评标委员会将遵照规定的评标办法，公正、平等地对待所有供应商。</w:t>
      </w:r>
    </w:p>
    <w:p w14:paraId="1044BFB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2B4416A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.4评标委员会和采购代理机构不退还响应文件。</w:t>
      </w:r>
    </w:p>
    <w:p w14:paraId="20AE9AC1">
      <w:pPr>
        <w:spacing w:line="500" w:lineRule="exact"/>
        <w:jc w:val="center"/>
        <w:rPr>
          <w:rFonts w:hint="eastAsia" w:ascii="宋体" w:hAnsi="宋体" w:eastAsia="宋体" w:cs="宋体"/>
          <w:b/>
          <w:sz w:val="32"/>
          <w:highlight w:val="none"/>
        </w:rPr>
      </w:pPr>
    </w:p>
    <w:p w14:paraId="0BFCF76E">
      <w:pPr>
        <w:spacing w:line="500" w:lineRule="exact"/>
        <w:jc w:val="center"/>
        <w:rPr>
          <w:rFonts w:hint="eastAsia" w:ascii="宋体" w:hAnsi="宋体" w:eastAsia="宋体" w:cs="宋体"/>
          <w:sz w:val="32"/>
          <w:highlight w:val="none"/>
        </w:rPr>
      </w:pPr>
      <w:r>
        <w:rPr>
          <w:rFonts w:hint="eastAsia" w:ascii="宋体" w:hAnsi="宋体" w:eastAsia="宋体" w:cs="宋体"/>
          <w:b/>
          <w:sz w:val="32"/>
          <w:highlight w:val="none"/>
        </w:rPr>
        <w:t>六、授予合同</w:t>
      </w:r>
    </w:p>
    <w:p w14:paraId="5B561C2A">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．中标（成交）结果公示</w:t>
      </w:r>
    </w:p>
    <w:p w14:paraId="10895CA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.1采购人或者采购代理机构在成交供应商确定后应在</w:t>
      </w:r>
      <w:r>
        <w:rPr>
          <w:rFonts w:hint="eastAsia" w:ascii="宋体" w:hAnsi="宋体" w:eastAsia="宋体" w:cs="宋体"/>
          <w:sz w:val="24"/>
          <w:highlight w:val="none"/>
          <w:lang w:val="en-US" w:eastAsia="zh-CN"/>
        </w:rPr>
        <w:t>医院网站中</w:t>
      </w:r>
      <w:r>
        <w:rPr>
          <w:rFonts w:hint="eastAsia" w:ascii="宋体" w:hAnsi="宋体" w:eastAsia="宋体" w:cs="宋体"/>
          <w:sz w:val="24"/>
          <w:highlight w:val="none"/>
        </w:rPr>
        <w:t>公告中标结果，公示期为1个工作日。</w:t>
      </w:r>
    </w:p>
    <w:p w14:paraId="18A1EE88">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．中标（成交）通知书</w:t>
      </w:r>
    </w:p>
    <w:p w14:paraId="0F8AB00D">
      <w:pPr>
        <w:spacing w:line="500" w:lineRule="exact"/>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 公示期满后，采购人将中标（成交）通知书授予该成交供应商。</w:t>
      </w:r>
    </w:p>
    <w:p w14:paraId="2DC3595C">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28</w:t>
      </w:r>
      <w:r>
        <w:rPr>
          <w:rFonts w:hint="eastAsia" w:ascii="宋体" w:hAnsi="宋体" w:eastAsia="宋体" w:cs="宋体"/>
          <w:b/>
          <w:bCs/>
          <w:sz w:val="24"/>
          <w:highlight w:val="none"/>
        </w:rPr>
        <w:t>．授标时更改采购货物数量的权利</w:t>
      </w:r>
    </w:p>
    <w:p w14:paraId="41D5F5FD">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28</w:t>
      </w:r>
      <w:r>
        <w:rPr>
          <w:rFonts w:hint="eastAsia" w:ascii="宋体" w:hAnsi="宋体" w:eastAsia="宋体" w:cs="宋体"/>
          <w:sz w:val="24"/>
          <w:highlight w:val="none"/>
        </w:rPr>
        <w:t>.1采购人在授予合同时有权在供应商须知前附表规定的幅度内对货物需求中规定的货物数量和服务予以增加或减少，但不得对单价或其它的条款和条件作改变。</w:t>
      </w:r>
    </w:p>
    <w:p w14:paraId="4038842A">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29</w:t>
      </w:r>
      <w:r>
        <w:rPr>
          <w:rFonts w:hint="eastAsia" w:ascii="宋体" w:hAnsi="宋体" w:eastAsia="宋体" w:cs="宋体"/>
          <w:b/>
          <w:bCs/>
          <w:sz w:val="24"/>
          <w:highlight w:val="none"/>
        </w:rPr>
        <w:t>．接受和拒绝任何或所有投标的权力</w:t>
      </w:r>
    </w:p>
    <w:p w14:paraId="7B0E7435">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29</w:t>
      </w:r>
      <w:r>
        <w:rPr>
          <w:rFonts w:hint="eastAsia" w:ascii="宋体" w:hAnsi="宋体" w:eastAsia="宋体" w:cs="宋体"/>
          <w:sz w:val="24"/>
          <w:highlight w:val="none"/>
        </w:rPr>
        <w:t>.1 如出现重大变故，采购任务取消情况，采购人保留因此原因在授标之前任何时候接受或拒绝任何投标，以及宣布采购无效或拒绝所有投标的权力，对受影响的供应商不承担任何责任。</w:t>
      </w:r>
    </w:p>
    <w:p w14:paraId="1E34E807">
      <w:p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30</w:t>
      </w:r>
      <w:r>
        <w:rPr>
          <w:rFonts w:hint="eastAsia" w:ascii="宋体" w:hAnsi="宋体" w:eastAsia="宋体" w:cs="宋体"/>
          <w:b/>
          <w:bCs/>
          <w:sz w:val="24"/>
          <w:highlight w:val="none"/>
        </w:rPr>
        <w:t>．签订合同</w:t>
      </w:r>
    </w:p>
    <w:p w14:paraId="7D2F5A03">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6DC91A16">
      <w:pPr>
        <w:spacing w:line="500" w:lineRule="exact"/>
        <w:rPr>
          <w:rFonts w:hint="eastAsia" w:ascii="宋体" w:hAnsi="宋体" w:eastAsia="宋体" w:cs="宋体"/>
          <w:sz w:val="24"/>
          <w:highlight w:val="none"/>
        </w:rPr>
      </w:pPr>
    </w:p>
    <w:p w14:paraId="5F45527F">
      <w:pPr>
        <w:spacing w:line="500" w:lineRule="exact"/>
        <w:jc w:val="center"/>
        <w:rPr>
          <w:rFonts w:hint="eastAsia" w:ascii="宋体" w:hAnsi="宋体" w:eastAsia="宋体" w:cs="宋体"/>
          <w:sz w:val="32"/>
          <w:highlight w:val="none"/>
        </w:rPr>
      </w:pPr>
      <w:r>
        <w:rPr>
          <w:rFonts w:hint="eastAsia" w:ascii="宋体" w:hAnsi="宋体" w:eastAsia="宋体" w:cs="宋体"/>
          <w:b/>
          <w:sz w:val="32"/>
          <w:highlight w:val="none"/>
        </w:rPr>
        <w:t>七、其    它</w:t>
      </w:r>
    </w:p>
    <w:p w14:paraId="78253201">
      <w:pPr>
        <w:autoSpaceDE w:val="0"/>
        <w:autoSpaceDN w:val="0"/>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3</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.保密</w:t>
      </w:r>
    </w:p>
    <w:p w14:paraId="7F18F957">
      <w:pPr>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.1评标委员会小组成员以及与评标委员会工作有关的人员不得泄露评标情况以及评标过程中获悉的国家秘密、商业秘密。</w:t>
      </w:r>
    </w:p>
    <w:p w14:paraId="7735FA92">
      <w:pPr>
        <w:autoSpaceDE w:val="0"/>
        <w:autoSpaceDN w:val="0"/>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3</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.禁止行为</w:t>
      </w:r>
    </w:p>
    <w:p w14:paraId="57267D97">
      <w:pPr>
        <w:snapToGrid w:val="0"/>
        <w:spacing w:line="500" w:lineRule="exact"/>
        <w:rPr>
          <w:rFonts w:hint="eastAsia"/>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highlight w:val="none"/>
        </w:rPr>
        <w:t>（成交）</w:t>
      </w:r>
      <w:r>
        <w:rPr>
          <w:rFonts w:hint="eastAsia" w:ascii="宋体" w:hAnsi="宋体" w:eastAsia="宋体" w:cs="宋体"/>
          <w:sz w:val="24"/>
          <w:highlight w:val="none"/>
        </w:rPr>
        <w:t>；不得以任何方式干扰、影响采购工作。供应商违反政府采购法律法规相关规定的，依法追究法律责任。</w:t>
      </w:r>
    </w:p>
    <w:p w14:paraId="506217B9">
      <w:pPr>
        <w:numPr>
          <w:ilvl w:val="0"/>
          <w:numId w:val="0"/>
        </w:numPr>
        <w:spacing w:before="190" w:beforeLines="50" w:after="190" w:afterLines="50"/>
        <w:jc w:val="center"/>
        <w:rPr>
          <w:rFonts w:hint="eastAsia" w:ascii="宋体" w:hAnsi="宋体" w:eastAsia="宋体"/>
          <w:b/>
          <w:kern w:val="0"/>
          <w:sz w:val="36"/>
          <w:szCs w:val="36"/>
          <w:highlight w:val="none"/>
        </w:rPr>
      </w:pPr>
      <w:r>
        <w:rPr>
          <w:rFonts w:hint="eastAsia" w:ascii="宋体" w:hAnsi="宋体" w:eastAsia="宋体"/>
          <w:b/>
          <w:kern w:val="0"/>
          <w:sz w:val="36"/>
          <w:szCs w:val="36"/>
          <w:highlight w:val="none"/>
          <w:lang w:val="en-US" w:eastAsia="zh-CN"/>
        </w:rPr>
        <w:t>第二章 采购</w:t>
      </w:r>
      <w:r>
        <w:rPr>
          <w:rFonts w:hint="eastAsia" w:ascii="宋体" w:hAnsi="宋体" w:eastAsia="宋体"/>
          <w:b/>
          <w:kern w:val="0"/>
          <w:sz w:val="36"/>
          <w:szCs w:val="36"/>
          <w:highlight w:val="none"/>
        </w:rPr>
        <w:t>项目需求</w:t>
      </w:r>
    </w:p>
    <w:p w14:paraId="24CFC6C2">
      <w:pPr>
        <w:rPr>
          <w:rFonts w:hint="eastAsia"/>
          <w:sz w:val="28"/>
          <w:szCs w:val="28"/>
          <w:highlight w:val="none"/>
        </w:rPr>
      </w:pPr>
      <w:r>
        <w:rPr>
          <w:rFonts w:hint="eastAsia" w:ascii="宋体" w:hAnsi="宋体" w:cs="宋体"/>
          <w:kern w:val="2"/>
          <w:sz w:val="24"/>
          <w:szCs w:val="24"/>
          <w:highlight w:val="none"/>
          <w:lang w:val="en-US" w:eastAsia="zh-CN" w:bidi="ar-SA"/>
        </w:rPr>
        <w:t>一、</w:t>
      </w:r>
      <w:r>
        <w:rPr>
          <w:rFonts w:hint="eastAsia"/>
          <w:sz w:val="28"/>
          <w:szCs w:val="28"/>
          <w:highlight w:val="none"/>
        </w:rPr>
        <w:t>预算</w:t>
      </w:r>
    </w:p>
    <w:p w14:paraId="2AC8C1F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本次采购项目预算资金</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万元。</w:t>
      </w:r>
    </w:p>
    <w:p w14:paraId="1D9DD53B">
      <w:pPr>
        <w:numPr>
          <w:ilvl w:val="0"/>
          <w:numId w:val="2"/>
        </w:num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本次采购项目需求如下：</w:t>
      </w:r>
    </w:p>
    <w:tbl>
      <w:tblPr>
        <w:tblStyle w:val="18"/>
        <w:tblW w:w="10368"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708"/>
        <w:gridCol w:w="972"/>
        <w:gridCol w:w="1140"/>
      </w:tblGrid>
      <w:tr w14:paraId="1F81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noWrap w:val="0"/>
            <w:vAlign w:val="center"/>
          </w:tcPr>
          <w:p w14:paraId="1949F72F">
            <w:pPr>
              <w:ind w:firstLine="402" w:firstLineChars="200"/>
              <w:jc w:val="both"/>
              <w:rPr>
                <w:rFonts w:hint="eastAsia" w:ascii="仿宋" w:hAnsi="仿宋" w:eastAsia="仿宋" w:cs="仿宋"/>
                <w:b/>
                <w:bCs/>
                <w:sz w:val="32"/>
                <w:szCs w:val="32"/>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产品</w:t>
            </w:r>
          </w:p>
        </w:tc>
        <w:tc>
          <w:tcPr>
            <w:tcW w:w="6708" w:type="dxa"/>
            <w:noWrap w:val="0"/>
            <w:vAlign w:val="center"/>
          </w:tcPr>
          <w:p w14:paraId="2FCC35A3">
            <w:pPr>
              <w:jc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技术指标要求</w:t>
            </w:r>
          </w:p>
        </w:tc>
        <w:tc>
          <w:tcPr>
            <w:tcW w:w="972" w:type="dxa"/>
            <w:noWrap w:val="0"/>
            <w:vAlign w:val="center"/>
          </w:tcPr>
          <w:p w14:paraId="53B80F18">
            <w:pPr>
              <w:ind w:firstLine="201" w:firstLineChars="100"/>
              <w:jc w:val="both"/>
              <w:rPr>
                <w:rFonts w:hint="eastAsia" w:ascii="仿宋" w:hAnsi="仿宋" w:eastAsia="仿宋" w:cs="仿宋"/>
                <w:b/>
                <w:bCs/>
                <w:sz w:val="32"/>
                <w:szCs w:val="32"/>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40" w:type="dxa"/>
            <w:noWrap w:val="0"/>
            <w:vAlign w:val="center"/>
          </w:tcPr>
          <w:p w14:paraId="078C2CBD">
            <w:pPr>
              <w:ind w:firstLine="201" w:firstLineChars="100"/>
              <w:jc w:val="both"/>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单位</w:t>
            </w:r>
          </w:p>
        </w:tc>
      </w:tr>
      <w:tr w14:paraId="7B97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3CAB9F02">
            <w:pPr>
              <w:jc w:val="both"/>
              <w:rPr>
                <w:rFonts w:hint="eastAsia" w:ascii="仿宋" w:hAnsi="仿宋" w:eastAsia="仿宋" w:cs="仿宋"/>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6708" w:type="dxa"/>
            <w:noWrap w:val="0"/>
            <w:vAlign w:val="center"/>
          </w:tcPr>
          <w:p w14:paraId="3721ACEE">
            <w:pPr>
              <w:rPr>
                <w:rFonts w:hint="eastAsia"/>
                <w:highlight w:val="none"/>
              </w:rPr>
            </w:pPr>
            <w:r>
              <w:rPr>
                <w:rFonts w:hint="eastAsia"/>
                <w:highlight w:val="none"/>
              </w:rPr>
              <w:t>1、机架式，服务器高度≥2U，标配原厂导轨</w:t>
            </w:r>
          </w:p>
          <w:p w14:paraId="13CBC688">
            <w:pPr>
              <w:rPr>
                <w:rFonts w:hint="eastAsia"/>
                <w:highlight w:val="none"/>
              </w:rPr>
            </w:pPr>
            <w:r>
              <w:rPr>
                <w:rFonts w:hint="eastAsia"/>
                <w:highlight w:val="none"/>
              </w:rPr>
              <w:t>2、处理器：CPU实配数量 ≥2颗 ，单颗不少于16核心，主频不小于2.4GHz。</w:t>
            </w:r>
          </w:p>
          <w:p w14:paraId="0DFB07E0">
            <w:pPr>
              <w:rPr>
                <w:rFonts w:hint="eastAsia"/>
                <w:highlight w:val="none"/>
              </w:rPr>
            </w:pPr>
            <w:r>
              <w:rPr>
                <w:rFonts w:hint="eastAsia"/>
                <w:highlight w:val="none"/>
              </w:rPr>
              <w:t>3、内存实配规格：≥128GB DDR4，内存可扩展数量：支持</w:t>
            </w:r>
            <w:r>
              <w:rPr>
                <w:rFonts w:hint="eastAsia"/>
                <w:highlight w:val="none"/>
                <w:lang w:val="en-US" w:eastAsia="zh-CN"/>
              </w:rPr>
              <w:t>≥</w:t>
            </w:r>
            <w:r>
              <w:rPr>
                <w:rFonts w:hint="eastAsia"/>
                <w:highlight w:val="none"/>
              </w:rPr>
              <w:t>32根DDR4内存，速率</w:t>
            </w:r>
            <w:r>
              <w:rPr>
                <w:rFonts w:hint="eastAsia"/>
                <w:highlight w:val="none"/>
                <w:lang w:val="en-US" w:eastAsia="zh-CN"/>
              </w:rPr>
              <w:t>≥</w:t>
            </w:r>
            <w:r>
              <w:rPr>
                <w:rFonts w:hint="eastAsia"/>
                <w:highlight w:val="none"/>
              </w:rPr>
              <w:t>3200MT/s，支持RDIMM或LRDIMM</w:t>
            </w:r>
          </w:p>
          <w:p w14:paraId="6446F2A2">
            <w:pPr>
              <w:rPr>
                <w:rFonts w:hint="eastAsia"/>
                <w:highlight w:val="none"/>
              </w:rPr>
            </w:pPr>
            <w:r>
              <w:rPr>
                <w:rFonts w:hint="eastAsia"/>
                <w:highlight w:val="none"/>
              </w:rPr>
              <w:t>4、存储：实配硬盘及托架≥2*960G SSD</w:t>
            </w:r>
            <w:r>
              <w:rPr>
                <w:rFonts w:hint="eastAsia"/>
                <w:highlight w:val="none"/>
                <w:lang w:eastAsia="zh-CN"/>
              </w:rPr>
              <w:t>，</w:t>
            </w:r>
            <w:r>
              <w:rPr>
                <w:rFonts w:hint="eastAsia"/>
                <w:highlight w:val="none"/>
              </w:rPr>
              <w:t>≥3*1.2T SAS 10K，硬盘槽位：支持SAS/SATA HDD/SSD硬盘：支持</w:t>
            </w:r>
            <w:r>
              <w:rPr>
                <w:rFonts w:hint="eastAsia"/>
                <w:highlight w:val="none"/>
                <w:lang w:val="en-US" w:eastAsia="zh-CN"/>
              </w:rPr>
              <w:t>≥</w:t>
            </w:r>
            <w:r>
              <w:rPr>
                <w:rFonts w:hint="eastAsia"/>
                <w:highlight w:val="none"/>
              </w:rPr>
              <w:t>32NVMe；阵列控制器：≥配置1个标准PCIe槽位阵列卡，支持RAID0/1/5；启动盘可选项：</w:t>
            </w:r>
          </w:p>
          <w:p w14:paraId="7D1482CC">
            <w:pPr>
              <w:rPr>
                <w:rFonts w:hint="eastAsia"/>
                <w:highlight w:val="none"/>
              </w:rPr>
            </w:pPr>
            <w:r>
              <w:rPr>
                <w:rFonts w:hint="eastAsia"/>
                <w:highlight w:val="none"/>
              </w:rPr>
              <w:t>5、PCI I/O插槽：提供≥15个PCIE4.0速率插槽。</w:t>
            </w:r>
          </w:p>
          <w:p w14:paraId="1EA03539">
            <w:pPr>
              <w:rPr>
                <w:rFonts w:hint="eastAsia"/>
                <w:highlight w:val="none"/>
              </w:rPr>
            </w:pPr>
            <w:r>
              <w:rPr>
                <w:rFonts w:hint="eastAsia"/>
                <w:highlight w:val="none"/>
              </w:rPr>
              <w:t>6、网络 网卡：可支持</w:t>
            </w:r>
            <w:r>
              <w:rPr>
                <w:rFonts w:hint="eastAsia"/>
                <w:highlight w:val="none"/>
                <w:lang w:val="en-US" w:eastAsia="zh-CN"/>
              </w:rPr>
              <w:t>≥</w:t>
            </w:r>
            <w:r>
              <w:rPr>
                <w:rFonts w:hint="eastAsia"/>
                <w:highlight w:val="none"/>
              </w:rPr>
              <w:t>2个 x16 OCP3.0插槽，实配</w:t>
            </w:r>
            <w:r>
              <w:rPr>
                <w:rFonts w:hint="eastAsia"/>
                <w:highlight w:val="none"/>
                <w:lang w:val="en-US" w:eastAsia="zh-CN"/>
              </w:rPr>
              <w:t>≥</w:t>
            </w:r>
            <w:r>
              <w:rPr>
                <w:rFonts w:hint="eastAsia"/>
                <w:highlight w:val="none"/>
              </w:rPr>
              <w:t>一个OCP3.0插槽，</w:t>
            </w:r>
            <w:r>
              <w:rPr>
                <w:rFonts w:hint="eastAsia"/>
                <w:highlight w:val="none"/>
                <w:lang w:val="en-US" w:eastAsia="zh-CN"/>
              </w:rPr>
              <w:t>至少</w:t>
            </w:r>
            <w:r>
              <w:rPr>
                <w:rFonts w:hint="eastAsia"/>
                <w:highlight w:val="none"/>
              </w:rPr>
              <w:t>配置1个4口千兆OCP3.0形态网卡</w:t>
            </w:r>
          </w:p>
          <w:p w14:paraId="18A574D9">
            <w:pPr>
              <w:rPr>
                <w:rFonts w:hint="eastAsia"/>
                <w:highlight w:val="none"/>
              </w:rPr>
            </w:pPr>
            <w:r>
              <w:rPr>
                <w:rFonts w:hint="eastAsia"/>
                <w:highlight w:val="none"/>
              </w:rPr>
              <w:t>7、GPU：双宽GPU卡可支持</w:t>
            </w:r>
            <w:r>
              <w:rPr>
                <w:rFonts w:hint="eastAsia"/>
                <w:highlight w:val="none"/>
                <w:lang w:val="en-US" w:eastAsia="zh-CN"/>
              </w:rPr>
              <w:t>≥</w:t>
            </w:r>
            <w:r>
              <w:rPr>
                <w:rFonts w:hint="eastAsia"/>
                <w:highlight w:val="none"/>
              </w:rPr>
              <w:t>4块，单宽GPU卡可支持</w:t>
            </w:r>
            <w:r>
              <w:rPr>
                <w:rFonts w:hint="eastAsia"/>
                <w:highlight w:val="none"/>
                <w:lang w:val="en-US" w:eastAsia="zh-CN"/>
              </w:rPr>
              <w:t>≥</w:t>
            </w:r>
            <w:r>
              <w:rPr>
                <w:rFonts w:hint="eastAsia"/>
                <w:highlight w:val="none"/>
              </w:rPr>
              <w:t>14块</w:t>
            </w:r>
          </w:p>
          <w:p w14:paraId="22E11A7E">
            <w:pPr>
              <w:rPr>
                <w:rFonts w:hint="eastAsia"/>
                <w:highlight w:val="none"/>
              </w:rPr>
            </w:pPr>
            <w:r>
              <w:rPr>
                <w:rFonts w:hint="eastAsia"/>
                <w:highlight w:val="none"/>
              </w:rPr>
              <w:t>8、接口</w:t>
            </w:r>
            <w:r>
              <w:rPr>
                <w:rFonts w:hint="eastAsia"/>
                <w:highlight w:val="none"/>
                <w:lang w:eastAsia="zh-CN"/>
              </w:rPr>
              <w:t>：</w:t>
            </w:r>
            <w:r>
              <w:rPr>
                <w:rFonts w:hint="eastAsia"/>
                <w:highlight w:val="none"/>
              </w:rPr>
              <w:t>可支持前部：</w:t>
            </w:r>
            <w:r>
              <w:rPr>
                <w:rFonts w:hint="eastAsia"/>
                <w:highlight w:val="none"/>
                <w:lang w:val="en-US" w:eastAsia="zh-CN"/>
              </w:rPr>
              <w:t>≥</w:t>
            </w:r>
            <w:r>
              <w:rPr>
                <w:rFonts w:hint="eastAsia"/>
                <w:highlight w:val="none"/>
              </w:rPr>
              <w:t xml:space="preserve">1个Type-C; </w:t>
            </w:r>
            <w:r>
              <w:rPr>
                <w:rFonts w:hint="eastAsia"/>
                <w:highlight w:val="none"/>
                <w:lang w:val="en-US" w:eastAsia="zh-CN"/>
              </w:rPr>
              <w:t>≥</w:t>
            </w:r>
            <w:r>
              <w:rPr>
                <w:rFonts w:hint="eastAsia"/>
                <w:highlight w:val="none"/>
              </w:rPr>
              <w:t>2个USB3.0;</w:t>
            </w:r>
            <w:r>
              <w:rPr>
                <w:rFonts w:hint="eastAsia"/>
                <w:highlight w:val="none"/>
                <w:lang w:val="en-US" w:eastAsia="zh-CN"/>
              </w:rPr>
              <w:t>≥</w:t>
            </w:r>
            <w:r>
              <w:rPr>
                <w:rFonts w:hint="eastAsia"/>
                <w:highlight w:val="none"/>
              </w:rPr>
              <w:t>1个VGA；后部：</w:t>
            </w:r>
            <w:r>
              <w:rPr>
                <w:rFonts w:hint="eastAsia"/>
                <w:highlight w:val="none"/>
                <w:lang w:val="en-US" w:eastAsia="zh-CN"/>
              </w:rPr>
              <w:t>≥</w:t>
            </w:r>
            <w:r>
              <w:rPr>
                <w:rFonts w:hint="eastAsia"/>
                <w:highlight w:val="none"/>
              </w:rPr>
              <w:t xml:space="preserve">2xUSB3.0; </w:t>
            </w:r>
            <w:r>
              <w:rPr>
                <w:rFonts w:hint="eastAsia"/>
                <w:highlight w:val="none"/>
                <w:lang w:val="en-US" w:eastAsia="zh-CN"/>
              </w:rPr>
              <w:t>≥</w:t>
            </w:r>
            <w:r>
              <w:rPr>
                <w:rFonts w:hint="eastAsia"/>
                <w:highlight w:val="none"/>
              </w:rPr>
              <w:t>1x串口；</w:t>
            </w:r>
            <w:r>
              <w:rPr>
                <w:rFonts w:hint="eastAsia"/>
                <w:highlight w:val="none"/>
                <w:lang w:val="en-US" w:eastAsia="zh-CN"/>
              </w:rPr>
              <w:t>≥</w:t>
            </w:r>
            <w:r>
              <w:rPr>
                <w:rFonts w:hint="eastAsia"/>
                <w:highlight w:val="none"/>
              </w:rPr>
              <w:t>1xVGA；内置：</w:t>
            </w:r>
            <w:r>
              <w:rPr>
                <w:rFonts w:hint="eastAsia"/>
                <w:highlight w:val="none"/>
                <w:lang w:val="en-US" w:eastAsia="zh-CN"/>
              </w:rPr>
              <w:t>≥</w:t>
            </w:r>
            <w:r>
              <w:rPr>
                <w:rFonts w:hint="eastAsia"/>
                <w:highlight w:val="none"/>
              </w:rPr>
              <w:t>2xUSB3.0</w:t>
            </w:r>
          </w:p>
          <w:p w14:paraId="50A64120">
            <w:pPr>
              <w:rPr>
                <w:rFonts w:hint="eastAsia"/>
                <w:highlight w:val="none"/>
              </w:rPr>
            </w:pPr>
            <w:r>
              <w:rPr>
                <w:rFonts w:hint="eastAsia"/>
                <w:highlight w:val="none"/>
              </w:rPr>
              <w:t>9、电源配置：双电源，热插拔冗余风扇</w:t>
            </w:r>
          </w:p>
          <w:p w14:paraId="6ED4EAC8">
            <w:pPr>
              <w:rPr>
                <w:rFonts w:hint="default" w:ascii="仿宋" w:hAnsi="仿宋" w:eastAsia="仿宋" w:cs="仿宋"/>
                <w:sz w:val="32"/>
                <w:szCs w:val="32"/>
                <w:highlight w:val="none"/>
                <w:vertAlign w:val="baseline"/>
                <w:lang w:val="en-US" w:eastAsia="zh-CN"/>
              </w:rPr>
            </w:pPr>
            <w:r>
              <w:rPr>
                <w:rFonts w:hint="eastAsia"/>
                <w:highlight w:val="none"/>
              </w:rPr>
              <w:t xml:space="preserve">10、安全性、可管理性：配置≥1Gb独立的远程管理控制端口；配置虚拟KVM功能,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 </w:t>
            </w:r>
          </w:p>
        </w:tc>
        <w:tc>
          <w:tcPr>
            <w:tcW w:w="972" w:type="dxa"/>
            <w:noWrap w:val="0"/>
            <w:vAlign w:val="center"/>
          </w:tcPr>
          <w:p w14:paraId="44AD1F03">
            <w:pPr>
              <w:jc w:val="center"/>
              <w:rPr>
                <w:rFonts w:hint="default" w:ascii="仿宋" w:hAnsi="仿宋" w:eastAsia="仿宋" w:cs="仿宋"/>
                <w:sz w:val="32"/>
                <w:szCs w:val="32"/>
                <w:highlight w:val="none"/>
                <w:vertAlign w:val="baseline"/>
                <w:lang w:val="en-US" w:eastAsia="zh-CN"/>
              </w:rPr>
            </w:pPr>
            <w:r>
              <w:rPr>
                <w:rFonts w:hint="eastAsia"/>
                <w:highlight w:val="none"/>
                <w:lang w:val="en-US" w:eastAsia="zh-CN"/>
              </w:rPr>
              <w:t>5</w:t>
            </w:r>
          </w:p>
        </w:tc>
        <w:tc>
          <w:tcPr>
            <w:tcW w:w="1140" w:type="dxa"/>
            <w:noWrap w:val="0"/>
            <w:vAlign w:val="center"/>
          </w:tcPr>
          <w:p w14:paraId="03823218">
            <w:pPr>
              <w:ind w:firstLine="210" w:firstLineChars="100"/>
              <w:jc w:val="both"/>
              <w:rPr>
                <w:rFonts w:hint="default" w:ascii="仿宋" w:hAnsi="仿宋" w:eastAsia="仿宋" w:cs="仿宋"/>
                <w:sz w:val="32"/>
                <w:szCs w:val="32"/>
                <w:highlight w:val="none"/>
                <w:vertAlign w:val="baseline"/>
                <w:lang w:val="en-US" w:eastAsia="zh-CN"/>
              </w:rPr>
            </w:pPr>
            <w:r>
              <w:rPr>
                <w:rFonts w:hint="eastAsia"/>
                <w:highlight w:val="none"/>
                <w:lang w:val="en-US" w:eastAsia="zh-CN"/>
              </w:rPr>
              <w:t>台</w:t>
            </w:r>
          </w:p>
        </w:tc>
      </w:tr>
    </w:tbl>
    <w:p w14:paraId="7E6DCB3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kern w:val="2"/>
          <w:sz w:val="24"/>
          <w:szCs w:val="24"/>
          <w:highlight w:val="none"/>
          <w:lang w:val="en-US" w:eastAsia="zh-CN" w:bidi="ar-SA"/>
        </w:rPr>
      </w:pPr>
    </w:p>
    <w:p w14:paraId="5A66F970">
      <w:pPr>
        <w:numPr>
          <w:ilvl w:val="0"/>
          <w:numId w:val="0"/>
        </w:numPr>
        <w:rPr>
          <w:rFonts w:hint="eastAsia"/>
          <w:highlight w:val="none"/>
          <w:lang w:eastAsia="zh-CN"/>
        </w:rPr>
      </w:pPr>
    </w:p>
    <w:p w14:paraId="72F40C2A">
      <w:pPr>
        <w:numPr>
          <w:ilvl w:val="0"/>
          <w:numId w:val="0"/>
        </w:numPr>
        <w:rPr>
          <w:rFonts w:hint="eastAsia"/>
          <w:highlight w:val="none"/>
          <w:lang w:eastAsia="zh-CN"/>
        </w:rPr>
      </w:pPr>
    </w:p>
    <w:p w14:paraId="241F83E5">
      <w:pPr>
        <w:spacing w:line="500" w:lineRule="exact"/>
        <w:jc w:val="center"/>
        <w:rPr>
          <w:rFonts w:hint="eastAsia" w:ascii="宋体" w:hAnsi="宋体" w:eastAsia="宋体" w:cs="宋体"/>
          <w:b/>
          <w:sz w:val="36"/>
          <w:szCs w:val="36"/>
          <w:highlight w:val="none"/>
        </w:rPr>
      </w:pPr>
    </w:p>
    <w:p w14:paraId="763D44E3">
      <w:pPr>
        <w:spacing w:line="500" w:lineRule="exact"/>
        <w:jc w:val="center"/>
        <w:rPr>
          <w:rFonts w:ascii="宋体" w:hAnsi="宋体" w:eastAsia="宋体" w:cs="宋体"/>
          <w:b/>
          <w:sz w:val="36"/>
          <w:szCs w:val="36"/>
          <w:highlight w:val="none"/>
        </w:rPr>
      </w:pPr>
      <w:r>
        <w:rPr>
          <w:rFonts w:hint="eastAsia" w:ascii="宋体" w:hAnsi="宋体" w:eastAsia="宋体" w:cs="宋体"/>
          <w:b/>
          <w:sz w:val="36"/>
          <w:szCs w:val="36"/>
          <w:highlight w:val="none"/>
        </w:rPr>
        <w:t>第</w:t>
      </w:r>
      <w:r>
        <w:rPr>
          <w:rFonts w:hint="eastAsia" w:ascii="宋体" w:hAnsi="宋体" w:eastAsia="宋体" w:cs="宋体"/>
          <w:b/>
          <w:sz w:val="36"/>
          <w:szCs w:val="36"/>
          <w:highlight w:val="none"/>
          <w:lang w:val="en-US" w:eastAsia="zh-CN"/>
        </w:rPr>
        <w:t>三</w:t>
      </w:r>
      <w:r>
        <w:rPr>
          <w:rFonts w:hint="eastAsia" w:ascii="宋体" w:hAnsi="宋体" w:eastAsia="宋体" w:cs="宋体"/>
          <w:b/>
          <w:sz w:val="36"/>
          <w:szCs w:val="36"/>
          <w:highlight w:val="none"/>
        </w:rPr>
        <w:t xml:space="preserve">章 </w:t>
      </w:r>
      <w:r>
        <w:rPr>
          <w:rFonts w:hint="eastAsia" w:ascii="宋体" w:hAnsi="宋体" w:cs="宋体"/>
          <w:b/>
          <w:sz w:val="36"/>
          <w:szCs w:val="36"/>
          <w:highlight w:val="none"/>
          <w:lang w:val="en-US" w:eastAsia="zh-CN"/>
        </w:rPr>
        <w:t>采购</w:t>
      </w:r>
      <w:r>
        <w:rPr>
          <w:rFonts w:hint="eastAsia" w:ascii="宋体" w:hAnsi="宋体" w:eastAsia="宋体" w:cs="宋体"/>
          <w:b/>
          <w:sz w:val="36"/>
          <w:szCs w:val="36"/>
          <w:highlight w:val="none"/>
        </w:rPr>
        <w:t>程序及评审标准</w:t>
      </w:r>
    </w:p>
    <w:p w14:paraId="0ED239A8">
      <w:pPr>
        <w:spacing w:line="500" w:lineRule="exact"/>
        <w:ind w:firstLine="480" w:firstLineChars="200"/>
        <w:rPr>
          <w:rFonts w:ascii="宋体" w:hAnsi="宋体" w:eastAsia="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文件</w:t>
      </w:r>
      <w:r>
        <w:rPr>
          <w:rFonts w:hint="eastAsia" w:ascii="宋体" w:hAnsi="宋体" w:eastAsia="宋体" w:cs="宋体"/>
          <w:sz w:val="24"/>
          <w:highlight w:val="none"/>
        </w:rPr>
        <w:t>规定的时间、地点主持</w:t>
      </w:r>
      <w:r>
        <w:rPr>
          <w:rFonts w:hint="eastAsia" w:ascii="宋体" w:hAnsi="宋体" w:cs="宋体"/>
          <w:sz w:val="24"/>
          <w:highlight w:val="none"/>
          <w:lang w:val="en-US" w:eastAsia="zh-CN"/>
        </w:rPr>
        <w:t>采购</w:t>
      </w:r>
      <w:r>
        <w:rPr>
          <w:rFonts w:hint="eastAsia" w:ascii="宋体" w:hAnsi="宋体" w:eastAsia="宋体" w:cs="宋体"/>
          <w:sz w:val="24"/>
          <w:highlight w:val="none"/>
        </w:rPr>
        <w:t>活动。</w:t>
      </w:r>
    </w:p>
    <w:p w14:paraId="0FAF8302">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2、供应商不足3家的，不得开启。</w:t>
      </w:r>
    </w:p>
    <w:p w14:paraId="0362E086">
      <w:pPr>
        <w:spacing w:line="500" w:lineRule="exact"/>
        <w:ind w:firstLine="220" w:firstLineChars="92"/>
        <w:rPr>
          <w:rFonts w:hint="eastAsia" w:ascii="宋体" w:hAnsi="宋体" w:eastAsia="宋体" w:cs="宋体"/>
          <w:sz w:val="24"/>
          <w:highlight w:val="none"/>
        </w:rPr>
      </w:pPr>
      <w:r>
        <w:rPr>
          <w:rFonts w:hint="eastAsia" w:ascii="宋体" w:hAnsi="宋体" w:eastAsia="宋体" w:cs="宋体"/>
          <w:sz w:val="24"/>
          <w:highlight w:val="none"/>
        </w:rPr>
        <w:t xml:space="preserve">  3、成立</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小组。采购人依法组建</w:t>
      </w:r>
      <w:r>
        <w:rPr>
          <w:rFonts w:hint="eastAsia" w:ascii="宋体" w:hAnsi="宋体" w:eastAsia="宋体" w:cs="宋体"/>
          <w:sz w:val="24"/>
          <w:highlight w:val="none"/>
          <w:lang w:val="en-US" w:eastAsia="zh-CN"/>
        </w:rPr>
        <w:t>评审小组</w:t>
      </w:r>
      <w:r>
        <w:rPr>
          <w:rFonts w:hint="eastAsia" w:ascii="宋体" w:hAnsi="宋体" w:eastAsia="宋体" w:cs="宋体"/>
          <w:sz w:val="24"/>
          <w:highlight w:val="none"/>
        </w:rPr>
        <w:t>，成员人数为3人以上单数（含3人）。</w:t>
      </w:r>
    </w:p>
    <w:p w14:paraId="7F50673D">
      <w:pPr>
        <w:spacing w:line="500" w:lineRule="exact"/>
        <w:ind w:firstLine="427" w:firstLineChars="178"/>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小组对响应文件的资格、有效性、完整性和响应程度进行审查，未实质性响应询价通知书的报价文件按无效处理。</w:t>
      </w:r>
    </w:p>
    <w:p w14:paraId="2CE5318E">
      <w:pPr>
        <w:spacing w:line="5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（1）在审查时，</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709171">
      <w:pPr>
        <w:spacing w:line="5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29A664C3">
      <w:pPr>
        <w:spacing w:line="5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小组在</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过程中，不得改变</w:t>
      </w: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文件</w:t>
      </w:r>
      <w:r>
        <w:rPr>
          <w:rFonts w:hint="eastAsia" w:ascii="宋体" w:hAnsi="宋体" w:eastAsia="宋体" w:cs="宋体"/>
          <w:sz w:val="24"/>
          <w:highlight w:val="none"/>
        </w:rPr>
        <w:t>所确定的技术和服务等要求、评审程序、评定成交的标准和合同文本等事项。</w:t>
      </w:r>
    </w:p>
    <w:p w14:paraId="14AB38D1">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、参加采购活动的供应商，应当一次报出不得更改的价格。</w:t>
      </w:r>
    </w:p>
    <w:p w14:paraId="6ED94540">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小组应从质量和服务均能满足采购文件实质性响应要求的供应商中，按照报价由低到高的顺序提出成交候选人。</w:t>
      </w:r>
    </w:p>
    <w:p w14:paraId="390B001D">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、采购人应当根据质量和服务均能满足采购文件实质性响应要求且报价最低的原则确定成交供应商。</w:t>
      </w:r>
    </w:p>
    <w:p w14:paraId="2CCBE04C">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、出现下列情形之一的，采购人应当终止采购活动，发布项目终止公告并说明原因，重新开展采购活动：</w:t>
      </w:r>
    </w:p>
    <w:p w14:paraId="139699AA">
      <w:pPr>
        <w:spacing w:line="500" w:lineRule="exact"/>
        <w:ind w:firstLine="427" w:firstLineChars="178"/>
        <w:rPr>
          <w:rFonts w:hint="eastAsia" w:ascii="宋体" w:hAnsi="宋体" w:eastAsia="宋体" w:cs="宋体"/>
          <w:sz w:val="24"/>
          <w:highlight w:val="none"/>
        </w:rPr>
      </w:pPr>
      <w:r>
        <w:rPr>
          <w:rFonts w:hint="eastAsia" w:ascii="宋体" w:hAnsi="宋体" w:eastAsia="宋体" w:cs="宋体"/>
          <w:sz w:val="24"/>
          <w:highlight w:val="none"/>
        </w:rPr>
        <w:t>（一）因情况变化，不再符合规定的采购方式适用情形的；</w:t>
      </w:r>
    </w:p>
    <w:p w14:paraId="4BAB423C">
      <w:pPr>
        <w:spacing w:line="500" w:lineRule="exact"/>
        <w:ind w:firstLine="427" w:firstLineChars="178"/>
        <w:rPr>
          <w:rFonts w:hint="eastAsia" w:ascii="宋体" w:hAnsi="宋体" w:eastAsia="宋体" w:cs="宋体"/>
          <w:sz w:val="24"/>
          <w:highlight w:val="none"/>
        </w:rPr>
      </w:pPr>
      <w:r>
        <w:rPr>
          <w:rFonts w:hint="eastAsia" w:ascii="宋体" w:hAnsi="宋体" w:eastAsia="宋体" w:cs="宋体"/>
          <w:sz w:val="24"/>
          <w:highlight w:val="none"/>
        </w:rPr>
        <w:t>（二）出现影响采购公正的违法、违规行为的；</w:t>
      </w:r>
    </w:p>
    <w:p w14:paraId="40D14ABE">
      <w:pPr>
        <w:spacing w:line="500" w:lineRule="exact"/>
        <w:ind w:firstLine="427" w:firstLineChars="178"/>
        <w:rPr>
          <w:rFonts w:hint="eastAsia" w:ascii="宋体" w:hAnsi="宋体" w:eastAsia="宋体" w:cs="宋体"/>
          <w:sz w:val="24"/>
          <w:highlight w:val="none"/>
        </w:rPr>
      </w:pPr>
      <w:r>
        <w:rPr>
          <w:rFonts w:hint="eastAsia" w:ascii="宋体" w:hAnsi="宋体" w:eastAsia="宋体" w:cs="宋体"/>
          <w:sz w:val="24"/>
          <w:highlight w:val="none"/>
        </w:rPr>
        <w:t>（三）在采购过程中符合竞争要求的供应商或者报价未超过采购预算的供应商不足3家的。</w:t>
      </w:r>
    </w:p>
    <w:p w14:paraId="2C3002B8">
      <w:pPr>
        <w:pStyle w:val="5"/>
        <w:tabs>
          <w:tab w:val="left" w:pos="8280"/>
        </w:tabs>
        <w:spacing w:line="500" w:lineRule="exact"/>
        <w:rPr>
          <w:rFonts w:hint="eastAsia"/>
          <w:b/>
          <w:bCs/>
          <w:sz w:val="24"/>
          <w:highlight w:val="none"/>
        </w:rPr>
      </w:pPr>
      <w:r>
        <w:rPr>
          <w:rFonts w:hint="eastAsia"/>
          <w:b/>
          <w:bCs/>
          <w:sz w:val="24"/>
          <w:highlight w:val="none"/>
        </w:rPr>
        <w:t>附表：</w:t>
      </w:r>
    </w:p>
    <w:p w14:paraId="504FE8B7">
      <w:pPr>
        <w:pStyle w:val="5"/>
        <w:tabs>
          <w:tab w:val="left" w:pos="8280"/>
        </w:tabs>
        <w:spacing w:line="500" w:lineRule="exact"/>
        <w:jc w:val="left"/>
        <w:rPr>
          <w:rFonts w:hint="eastAsia"/>
          <w:b/>
          <w:bCs/>
          <w:sz w:val="28"/>
          <w:szCs w:val="28"/>
          <w:highlight w:val="none"/>
        </w:rPr>
      </w:pPr>
      <w:r>
        <w:rPr>
          <w:rFonts w:hint="eastAsia"/>
          <w:b/>
          <w:bCs/>
          <w:sz w:val="28"/>
          <w:szCs w:val="28"/>
          <w:highlight w:val="none"/>
          <w:lang w:val="en-US" w:eastAsia="zh-CN"/>
        </w:rPr>
        <w:t>附表1：</w:t>
      </w:r>
      <w:r>
        <w:rPr>
          <w:rFonts w:hint="eastAsia"/>
          <w:b/>
          <w:bCs/>
          <w:sz w:val="28"/>
          <w:szCs w:val="28"/>
          <w:highlight w:val="none"/>
        </w:rPr>
        <w:t>资格审查表</w:t>
      </w:r>
    </w:p>
    <w:tbl>
      <w:tblPr>
        <w:tblStyle w:val="17"/>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highlight w:val="none"/>
              </w:rPr>
            </w:pPr>
            <w:r>
              <w:rPr>
                <w:rFonts w:hint="eastAsia" w:ascii="宋体" w:hAnsi="宋体" w:eastAsia="宋体" w:cs="Arial"/>
                <w:b/>
                <w:bCs/>
                <w:sz w:val="24"/>
                <w:highlight w:val="none"/>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highlight w:val="none"/>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满足</w:t>
            </w:r>
            <w:r>
              <w:rPr>
                <w:rFonts w:hint="eastAsia" w:ascii="宋体" w:hAnsi="宋体" w:eastAsia="宋体" w:cs="宋体"/>
                <w:sz w:val="24"/>
                <w:szCs w:val="24"/>
                <w:highlight w:val="none"/>
              </w:rPr>
              <w:t>《中华人民共和国政府采购法》第二十二条规定的</w:t>
            </w:r>
            <w:r>
              <w:rPr>
                <w:rFonts w:hint="eastAsia" w:ascii="宋体" w:hAnsi="宋体" w:eastAsia="宋体" w:cs="宋体"/>
                <w:sz w:val="24"/>
                <w:szCs w:val="24"/>
                <w:highlight w:val="none"/>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r w14:paraId="4BDE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262" w:type="dxa"/>
            <w:gridSpan w:val="2"/>
            <w:noWrap w:val="0"/>
            <w:vAlign w:val="center"/>
          </w:tcPr>
          <w:p w14:paraId="5EB8D9F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结论(通过/不通过)</w:t>
            </w:r>
          </w:p>
        </w:tc>
        <w:tc>
          <w:tcPr>
            <w:tcW w:w="1681" w:type="dxa"/>
            <w:noWrap w:val="0"/>
            <w:vAlign w:val="center"/>
          </w:tcPr>
          <w:p w14:paraId="5C8F55D9">
            <w:pPr>
              <w:spacing w:line="440" w:lineRule="exact"/>
              <w:jc w:val="center"/>
              <w:rPr>
                <w:rFonts w:hint="eastAsia" w:ascii="宋体" w:hAnsi="宋体" w:eastAsia="宋体" w:cs="宋体"/>
                <w:sz w:val="24"/>
                <w:szCs w:val="24"/>
                <w:highlight w:val="none"/>
                <w:lang w:eastAsia="zh-CN"/>
              </w:rPr>
            </w:pPr>
          </w:p>
        </w:tc>
        <w:tc>
          <w:tcPr>
            <w:tcW w:w="2874" w:type="dxa"/>
            <w:noWrap w:val="0"/>
            <w:vAlign w:val="center"/>
          </w:tcPr>
          <w:p w14:paraId="67D3E414">
            <w:pPr>
              <w:spacing w:line="440" w:lineRule="exact"/>
              <w:jc w:val="center"/>
              <w:rPr>
                <w:rFonts w:hint="eastAsia" w:ascii="宋体" w:hAnsi="宋体" w:cs="宋体"/>
                <w:kern w:val="0"/>
                <w:sz w:val="24"/>
                <w:szCs w:val="22"/>
                <w:highlight w:val="none"/>
                <w:lang w:val="zh-CN"/>
              </w:rPr>
            </w:pPr>
          </w:p>
        </w:tc>
      </w:tr>
    </w:tbl>
    <w:p w14:paraId="2DFFD2B2">
      <w:pPr>
        <w:spacing w:line="240" w:lineRule="auto"/>
        <w:jc w:val="both"/>
        <w:rPr>
          <w:rFonts w:hint="eastAsia" w:ascii="宋体" w:hAnsi="宋体" w:eastAsia="宋体" w:cs="宋体"/>
          <w:b/>
          <w:bCs/>
          <w:sz w:val="24"/>
          <w:szCs w:val="24"/>
          <w:highlight w:val="none"/>
          <w:lang w:val="en-US" w:eastAsia="zh-CN"/>
        </w:rPr>
      </w:pPr>
    </w:p>
    <w:p w14:paraId="52DC2841">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66DB67AC">
      <w:pPr>
        <w:pStyle w:val="5"/>
        <w:tabs>
          <w:tab w:val="left" w:pos="8280"/>
        </w:tabs>
        <w:spacing w:line="500" w:lineRule="exact"/>
        <w:jc w:val="left"/>
        <w:rPr>
          <w:rFonts w:hint="eastAsia"/>
          <w:b/>
          <w:bCs/>
          <w:sz w:val="28"/>
          <w:szCs w:val="28"/>
          <w:highlight w:val="none"/>
        </w:rPr>
      </w:pPr>
      <w:r>
        <w:rPr>
          <w:rFonts w:hint="eastAsia"/>
          <w:b/>
          <w:bCs/>
          <w:sz w:val="28"/>
          <w:szCs w:val="28"/>
          <w:highlight w:val="none"/>
          <w:lang w:val="en-US" w:eastAsia="zh-CN"/>
        </w:rPr>
        <w:t>附表2：</w:t>
      </w:r>
      <w:r>
        <w:rPr>
          <w:rFonts w:hint="eastAsia"/>
          <w:b/>
          <w:bCs/>
          <w:sz w:val="28"/>
          <w:szCs w:val="28"/>
          <w:highlight w:val="none"/>
        </w:rPr>
        <w:t>符合性评审内容及合格条件</w:t>
      </w:r>
    </w:p>
    <w:tbl>
      <w:tblPr>
        <w:tblStyle w:val="17"/>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14:paraId="5CF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14:paraId="08F30327">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165" w:type="dxa"/>
            <w:vMerge w:val="restart"/>
            <w:noWrap w:val="0"/>
            <w:vAlign w:val="center"/>
          </w:tcPr>
          <w:p w14:paraId="1DAFBBB1">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审查项目内容</w:t>
            </w:r>
          </w:p>
        </w:tc>
        <w:tc>
          <w:tcPr>
            <w:tcW w:w="3430" w:type="dxa"/>
            <w:vMerge w:val="restart"/>
            <w:noWrap w:val="0"/>
            <w:vAlign w:val="center"/>
          </w:tcPr>
          <w:p w14:paraId="3D545E20">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合格条件</w:t>
            </w:r>
          </w:p>
        </w:tc>
        <w:tc>
          <w:tcPr>
            <w:tcW w:w="3700" w:type="dxa"/>
            <w:gridSpan w:val="2"/>
            <w:noWrap w:val="0"/>
            <w:vAlign w:val="top"/>
          </w:tcPr>
          <w:p w14:paraId="3AFF9D1C">
            <w:pPr>
              <w:spacing w:line="500" w:lineRule="exact"/>
              <w:jc w:val="center"/>
              <w:rPr>
                <w:rFonts w:hint="eastAsia" w:ascii="宋体" w:hAnsi="宋体" w:eastAsia="宋体" w:cs="宋体"/>
                <w:sz w:val="24"/>
                <w:highlight w:val="none"/>
              </w:rPr>
            </w:pPr>
            <w:r>
              <w:rPr>
                <w:rFonts w:hint="eastAsia" w:ascii="宋体" w:hAnsi="宋体" w:eastAsia="宋体" w:cs="宋体"/>
                <w:b/>
                <w:sz w:val="24"/>
                <w:highlight w:val="none"/>
              </w:rPr>
              <w:t>是否通过</w:t>
            </w:r>
          </w:p>
        </w:tc>
      </w:tr>
      <w:tr w14:paraId="7C9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14:paraId="2E4DB770">
            <w:pPr>
              <w:spacing w:line="500" w:lineRule="exact"/>
              <w:jc w:val="center"/>
              <w:rPr>
                <w:rFonts w:hint="eastAsia" w:ascii="宋体" w:hAnsi="宋体" w:eastAsia="宋体" w:cs="宋体"/>
                <w:sz w:val="24"/>
                <w:highlight w:val="none"/>
              </w:rPr>
            </w:pPr>
          </w:p>
        </w:tc>
        <w:tc>
          <w:tcPr>
            <w:tcW w:w="2165" w:type="dxa"/>
            <w:vMerge w:val="continue"/>
            <w:noWrap w:val="0"/>
            <w:vAlign w:val="top"/>
          </w:tcPr>
          <w:p w14:paraId="7C7C4A8B">
            <w:pPr>
              <w:spacing w:line="500" w:lineRule="exact"/>
              <w:jc w:val="center"/>
              <w:rPr>
                <w:rFonts w:hint="eastAsia" w:ascii="宋体" w:hAnsi="宋体" w:eastAsia="宋体" w:cs="宋体"/>
                <w:sz w:val="24"/>
                <w:highlight w:val="none"/>
              </w:rPr>
            </w:pPr>
          </w:p>
        </w:tc>
        <w:tc>
          <w:tcPr>
            <w:tcW w:w="3430" w:type="dxa"/>
            <w:vMerge w:val="continue"/>
            <w:noWrap w:val="0"/>
            <w:vAlign w:val="top"/>
          </w:tcPr>
          <w:p w14:paraId="39373230">
            <w:pPr>
              <w:spacing w:line="500" w:lineRule="exact"/>
              <w:jc w:val="center"/>
              <w:rPr>
                <w:rFonts w:hint="eastAsia" w:ascii="宋体" w:hAnsi="宋体" w:eastAsia="宋体" w:cs="宋体"/>
                <w:sz w:val="24"/>
                <w:highlight w:val="none"/>
              </w:rPr>
            </w:pPr>
          </w:p>
        </w:tc>
        <w:tc>
          <w:tcPr>
            <w:tcW w:w="1853" w:type="dxa"/>
            <w:noWrap w:val="0"/>
            <w:vAlign w:val="top"/>
          </w:tcPr>
          <w:p w14:paraId="25C42535">
            <w:pPr>
              <w:spacing w:line="500" w:lineRule="exact"/>
              <w:jc w:val="center"/>
              <w:rPr>
                <w:rFonts w:hint="eastAsia" w:ascii="宋体" w:hAnsi="宋体" w:eastAsia="宋体" w:cs="宋体"/>
                <w:sz w:val="24"/>
                <w:highlight w:val="none"/>
              </w:rPr>
            </w:pPr>
            <w:r>
              <w:rPr>
                <w:rFonts w:hint="eastAsia" w:ascii="宋体" w:hAnsi="宋体" w:eastAsia="宋体" w:cs="宋体"/>
                <w:b/>
                <w:sz w:val="24"/>
                <w:highlight w:val="none"/>
              </w:rPr>
              <w:t>通过打“√”</w:t>
            </w:r>
          </w:p>
        </w:tc>
        <w:tc>
          <w:tcPr>
            <w:tcW w:w="1847" w:type="dxa"/>
            <w:noWrap w:val="0"/>
            <w:vAlign w:val="top"/>
          </w:tcPr>
          <w:p w14:paraId="056C3005">
            <w:pPr>
              <w:spacing w:line="500" w:lineRule="exact"/>
              <w:jc w:val="center"/>
              <w:rPr>
                <w:rFonts w:hint="eastAsia" w:ascii="宋体" w:hAnsi="宋体" w:eastAsia="宋体" w:cs="宋体"/>
                <w:sz w:val="24"/>
                <w:highlight w:val="none"/>
              </w:rPr>
            </w:pPr>
            <w:r>
              <w:rPr>
                <w:rFonts w:hint="eastAsia" w:ascii="宋体" w:hAnsi="宋体" w:eastAsia="宋体" w:cs="宋体"/>
                <w:b/>
                <w:sz w:val="24"/>
                <w:highlight w:val="none"/>
              </w:rPr>
              <w:t>不通过打“×”</w:t>
            </w:r>
          </w:p>
        </w:tc>
      </w:tr>
      <w:tr w14:paraId="2FE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14:paraId="6A9DC9C7">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165" w:type="dxa"/>
            <w:noWrap w:val="0"/>
            <w:vAlign w:val="center"/>
          </w:tcPr>
          <w:p w14:paraId="5E46E9EF">
            <w:pPr>
              <w:jc w:val="center"/>
              <w:rPr>
                <w:rFonts w:hint="eastAsia" w:ascii="宋体" w:hAnsi="宋体" w:eastAsia="宋体" w:cs="宋体"/>
                <w:sz w:val="24"/>
                <w:highlight w:val="none"/>
              </w:rPr>
            </w:pPr>
            <w:r>
              <w:rPr>
                <w:rFonts w:hint="eastAsia" w:ascii="宋体" w:hAnsi="宋体" w:eastAsia="宋体" w:cs="宋体"/>
                <w:sz w:val="24"/>
                <w:highlight w:val="none"/>
              </w:rPr>
              <w:t>签字盖章</w:t>
            </w:r>
          </w:p>
        </w:tc>
        <w:tc>
          <w:tcPr>
            <w:tcW w:w="3430" w:type="dxa"/>
            <w:noWrap w:val="0"/>
            <w:vAlign w:val="center"/>
          </w:tcPr>
          <w:p w14:paraId="5C7C6C57">
            <w:pPr>
              <w:jc w:val="center"/>
              <w:rPr>
                <w:rFonts w:hint="eastAsia" w:ascii="宋体" w:hAnsi="宋体" w:eastAsia="宋体" w:cs="宋体"/>
                <w:sz w:val="24"/>
                <w:highlight w:val="none"/>
              </w:rPr>
            </w:pP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文件“</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格式”的要求签字盖章</w:t>
            </w:r>
          </w:p>
        </w:tc>
        <w:tc>
          <w:tcPr>
            <w:tcW w:w="1853" w:type="dxa"/>
            <w:noWrap w:val="0"/>
            <w:vAlign w:val="center"/>
          </w:tcPr>
          <w:p w14:paraId="1746E979">
            <w:pPr>
              <w:spacing w:line="440" w:lineRule="exact"/>
              <w:rPr>
                <w:rFonts w:hint="eastAsia" w:ascii="宋体" w:hAnsi="宋体" w:eastAsia="宋体" w:cs="宋体"/>
                <w:sz w:val="24"/>
                <w:highlight w:val="none"/>
              </w:rPr>
            </w:pPr>
          </w:p>
        </w:tc>
        <w:tc>
          <w:tcPr>
            <w:tcW w:w="1847" w:type="dxa"/>
            <w:noWrap w:val="0"/>
            <w:vAlign w:val="center"/>
          </w:tcPr>
          <w:p w14:paraId="32CE0075">
            <w:pPr>
              <w:spacing w:line="440" w:lineRule="exact"/>
              <w:rPr>
                <w:rFonts w:hint="eastAsia" w:ascii="宋体" w:hAnsi="宋体" w:eastAsia="宋体" w:cs="宋体"/>
                <w:sz w:val="24"/>
                <w:highlight w:val="none"/>
              </w:rPr>
            </w:pPr>
          </w:p>
        </w:tc>
      </w:tr>
      <w:tr w14:paraId="2D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14:paraId="61A8BE2A">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165" w:type="dxa"/>
            <w:noWrap w:val="0"/>
            <w:vAlign w:val="center"/>
          </w:tcPr>
          <w:p w14:paraId="0C5D5F05">
            <w:pPr>
              <w:widowControl/>
              <w:spacing w:line="280" w:lineRule="exact"/>
              <w:jc w:val="center"/>
              <w:rPr>
                <w:rFonts w:hint="eastAsia" w:ascii="宋体" w:hAnsi="宋体" w:eastAsia="宋体" w:cs="宋体"/>
                <w:sz w:val="24"/>
                <w:highlight w:val="none"/>
              </w:rPr>
            </w:pPr>
            <w:r>
              <w:rPr>
                <w:rFonts w:hint="eastAsia" w:ascii="宋体" w:hAnsi="宋体" w:eastAsia="宋体" w:cs="宋体"/>
                <w:color w:val="000000"/>
                <w:sz w:val="24"/>
                <w:highlight w:val="none"/>
              </w:rPr>
              <w:t>法定代表人身份证明或授权委托书</w:t>
            </w:r>
          </w:p>
        </w:tc>
        <w:tc>
          <w:tcPr>
            <w:tcW w:w="3430" w:type="dxa"/>
            <w:noWrap w:val="0"/>
            <w:vAlign w:val="center"/>
          </w:tcPr>
          <w:p w14:paraId="1539A086">
            <w:pPr>
              <w:widowControl/>
              <w:spacing w:line="280" w:lineRule="exact"/>
              <w:jc w:val="center"/>
              <w:rPr>
                <w:rFonts w:hint="eastAsia" w:ascii="宋体" w:hAnsi="宋体" w:eastAsia="宋体" w:cs="宋体"/>
                <w:sz w:val="24"/>
                <w:highlight w:val="none"/>
              </w:rPr>
            </w:pPr>
            <w:r>
              <w:rPr>
                <w:rFonts w:hint="eastAsia" w:ascii="宋体" w:hAnsi="宋体" w:eastAsia="宋体" w:cs="宋体"/>
                <w:color w:val="000000"/>
                <w:sz w:val="24"/>
                <w:highlight w:val="none"/>
              </w:rPr>
              <w:t>有效</w:t>
            </w:r>
          </w:p>
        </w:tc>
        <w:tc>
          <w:tcPr>
            <w:tcW w:w="1853" w:type="dxa"/>
            <w:noWrap w:val="0"/>
            <w:vAlign w:val="center"/>
          </w:tcPr>
          <w:p w14:paraId="245816A2">
            <w:pPr>
              <w:spacing w:line="440" w:lineRule="exact"/>
              <w:rPr>
                <w:rFonts w:hint="eastAsia" w:ascii="宋体" w:hAnsi="宋体" w:eastAsia="宋体" w:cs="宋体"/>
                <w:sz w:val="24"/>
                <w:highlight w:val="none"/>
              </w:rPr>
            </w:pPr>
          </w:p>
        </w:tc>
        <w:tc>
          <w:tcPr>
            <w:tcW w:w="1847" w:type="dxa"/>
            <w:noWrap w:val="0"/>
            <w:vAlign w:val="center"/>
          </w:tcPr>
          <w:p w14:paraId="474E0300">
            <w:pPr>
              <w:spacing w:line="440" w:lineRule="exact"/>
              <w:rPr>
                <w:rFonts w:hint="eastAsia" w:ascii="宋体" w:hAnsi="宋体" w:eastAsia="宋体" w:cs="宋体"/>
                <w:sz w:val="24"/>
                <w:highlight w:val="none"/>
              </w:rPr>
            </w:pPr>
          </w:p>
        </w:tc>
      </w:tr>
      <w:tr w14:paraId="173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14:paraId="2E564714">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165" w:type="dxa"/>
            <w:noWrap w:val="0"/>
            <w:vAlign w:val="center"/>
          </w:tcPr>
          <w:p w14:paraId="3B2B1447">
            <w:pPr>
              <w:jc w:val="center"/>
              <w:rPr>
                <w:rFonts w:hint="eastAsia" w:ascii="宋体" w:hAnsi="宋体" w:eastAsia="宋体" w:cs="宋体"/>
                <w:sz w:val="24"/>
                <w:highlight w:val="none"/>
              </w:rPr>
            </w:pPr>
            <w:r>
              <w:rPr>
                <w:rFonts w:hint="eastAsia" w:ascii="宋体" w:hAnsi="宋体" w:eastAsia="宋体" w:cs="宋体"/>
                <w:sz w:val="24"/>
                <w:highlight w:val="none"/>
              </w:rPr>
              <w:t>投标方案</w:t>
            </w:r>
          </w:p>
        </w:tc>
        <w:tc>
          <w:tcPr>
            <w:tcW w:w="3430" w:type="dxa"/>
            <w:noWrap w:val="0"/>
            <w:vAlign w:val="center"/>
          </w:tcPr>
          <w:p w14:paraId="416046D2">
            <w:pPr>
              <w:jc w:val="center"/>
              <w:rPr>
                <w:rFonts w:hint="eastAsia" w:ascii="宋体" w:hAnsi="宋体" w:eastAsia="宋体" w:cs="宋体"/>
                <w:sz w:val="24"/>
                <w:highlight w:val="none"/>
              </w:rPr>
            </w:pPr>
            <w:r>
              <w:rPr>
                <w:rFonts w:hint="eastAsia" w:ascii="宋体" w:hAnsi="宋体" w:eastAsia="宋体" w:cs="宋体"/>
                <w:color w:val="000000"/>
                <w:sz w:val="24"/>
                <w:highlight w:val="none"/>
              </w:rPr>
              <w:t>不允许备选方案，只能有一个方案投标</w:t>
            </w:r>
          </w:p>
        </w:tc>
        <w:tc>
          <w:tcPr>
            <w:tcW w:w="1853" w:type="dxa"/>
            <w:noWrap w:val="0"/>
            <w:vAlign w:val="center"/>
          </w:tcPr>
          <w:p w14:paraId="2FA9AC19">
            <w:pPr>
              <w:spacing w:line="440" w:lineRule="exact"/>
              <w:rPr>
                <w:rFonts w:hint="eastAsia" w:ascii="宋体" w:hAnsi="宋体" w:eastAsia="宋体" w:cs="宋体"/>
                <w:sz w:val="24"/>
                <w:highlight w:val="none"/>
              </w:rPr>
            </w:pPr>
          </w:p>
        </w:tc>
        <w:tc>
          <w:tcPr>
            <w:tcW w:w="1847" w:type="dxa"/>
            <w:noWrap w:val="0"/>
            <w:vAlign w:val="center"/>
          </w:tcPr>
          <w:p w14:paraId="0AEAE8B9">
            <w:pPr>
              <w:spacing w:line="440" w:lineRule="exact"/>
              <w:rPr>
                <w:rFonts w:hint="eastAsia" w:ascii="宋体" w:hAnsi="宋体" w:eastAsia="宋体" w:cs="宋体"/>
                <w:sz w:val="24"/>
                <w:highlight w:val="none"/>
              </w:rPr>
            </w:pPr>
          </w:p>
        </w:tc>
      </w:tr>
      <w:tr w14:paraId="79C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14:paraId="18BC9227">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165" w:type="dxa"/>
            <w:noWrap w:val="0"/>
            <w:vAlign w:val="center"/>
          </w:tcPr>
          <w:p w14:paraId="6931DA86">
            <w:pPr>
              <w:jc w:val="center"/>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3430" w:type="dxa"/>
            <w:noWrap w:val="0"/>
            <w:vAlign w:val="center"/>
          </w:tcPr>
          <w:p w14:paraId="54893CC0">
            <w:pPr>
              <w:jc w:val="center"/>
              <w:rPr>
                <w:rFonts w:hint="eastAsia" w:ascii="宋体" w:hAnsi="宋体" w:eastAsia="宋体" w:cs="宋体"/>
                <w:sz w:val="24"/>
                <w:highlight w:val="none"/>
              </w:rPr>
            </w:pPr>
            <w:r>
              <w:rPr>
                <w:rFonts w:hint="eastAsia" w:ascii="宋体" w:hAnsi="宋体" w:eastAsia="宋体" w:cs="宋体"/>
                <w:sz w:val="24"/>
                <w:highlight w:val="none"/>
              </w:rPr>
              <w:t>只能有一个有效报价</w:t>
            </w:r>
          </w:p>
        </w:tc>
        <w:tc>
          <w:tcPr>
            <w:tcW w:w="1853" w:type="dxa"/>
            <w:noWrap w:val="0"/>
            <w:vAlign w:val="center"/>
          </w:tcPr>
          <w:p w14:paraId="0BD68679">
            <w:pPr>
              <w:spacing w:line="440" w:lineRule="exact"/>
              <w:rPr>
                <w:rFonts w:hint="eastAsia" w:ascii="宋体" w:hAnsi="宋体" w:eastAsia="宋体" w:cs="宋体"/>
                <w:sz w:val="24"/>
                <w:highlight w:val="none"/>
              </w:rPr>
            </w:pPr>
          </w:p>
        </w:tc>
        <w:tc>
          <w:tcPr>
            <w:tcW w:w="1847" w:type="dxa"/>
            <w:noWrap w:val="0"/>
            <w:vAlign w:val="center"/>
          </w:tcPr>
          <w:p w14:paraId="0FC2C90D">
            <w:pPr>
              <w:spacing w:line="440" w:lineRule="exact"/>
              <w:rPr>
                <w:rFonts w:hint="eastAsia" w:ascii="宋体" w:hAnsi="宋体" w:eastAsia="宋体" w:cs="宋体"/>
                <w:sz w:val="24"/>
                <w:highlight w:val="none"/>
              </w:rPr>
            </w:pPr>
          </w:p>
        </w:tc>
      </w:tr>
      <w:tr w14:paraId="7D0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29" w:type="dxa"/>
            <w:noWrap w:val="0"/>
            <w:vAlign w:val="center"/>
          </w:tcPr>
          <w:p w14:paraId="3882919F">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165" w:type="dxa"/>
            <w:noWrap w:val="0"/>
            <w:vAlign w:val="center"/>
          </w:tcPr>
          <w:p w14:paraId="54A2CDE5">
            <w:pPr>
              <w:widowControl/>
              <w:spacing w:line="280" w:lineRule="exact"/>
              <w:jc w:val="center"/>
              <w:rPr>
                <w:rFonts w:hint="eastAsia" w:ascii="宋体" w:hAnsi="宋体" w:eastAsia="宋体" w:cs="宋体"/>
                <w:sz w:val="24"/>
                <w:highlight w:val="none"/>
              </w:rPr>
            </w:pP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份数</w:t>
            </w:r>
          </w:p>
        </w:tc>
        <w:tc>
          <w:tcPr>
            <w:tcW w:w="3430" w:type="dxa"/>
            <w:noWrap w:val="0"/>
            <w:vAlign w:val="center"/>
          </w:tcPr>
          <w:p w14:paraId="7179EDF9">
            <w:pPr>
              <w:widowControl/>
              <w:spacing w:line="280" w:lineRule="exact"/>
              <w:jc w:val="center"/>
              <w:rPr>
                <w:rFonts w:hint="eastAsia" w:ascii="宋体" w:hAnsi="宋体" w:eastAsia="宋体" w:cs="宋体"/>
                <w:sz w:val="24"/>
                <w:highlight w:val="none"/>
              </w:rPr>
            </w:pP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正本、副本数量符合招标文件要求</w:t>
            </w:r>
          </w:p>
        </w:tc>
        <w:tc>
          <w:tcPr>
            <w:tcW w:w="1853" w:type="dxa"/>
            <w:noWrap w:val="0"/>
            <w:vAlign w:val="center"/>
          </w:tcPr>
          <w:p w14:paraId="435AF75B">
            <w:pPr>
              <w:spacing w:line="440" w:lineRule="exact"/>
              <w:rPr>
                <w:rFonts w:hint="eastAsia" w:ascii="宋体" w:hAnsi="宋体" w:eastAsia="宋体" w:cs="宋体"/>
                <w:sz w:val="24"/>
                <w:highlight w:val="none"/>
              </w:rPr>
            </w:pPr>
          </w:p>
        </w:tc>
        <w:tc>
          <w:tcPr>
            <w:tcW w:w="1847" w:type="dxa"/>
            <w:noWrap w:val="0"/>
            <w:vAlign w:val="center"/>
          </w:tcPr>
          <w:p w14:paraId="16862ED6">
            <w:pPr>
              <w:spacing w:line="440" w:lineRule="exact"/>
              <w:rPr>
                <w:rFonts w:hint="eastAsia" w:ascii="宋体" w:hAnsi="宋体" w:eastAsia="宋体" w:cs="宋体"/>
                <w:sz w:val="24"/>
                <w:highlight w:val="none"/>
              </w:rPr>
            </w:pPr>
          </w:p>
        </w:tc>
      </w:tr>
      <w:tr w14:paraId="36B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14:paraId="5BB0AB4D">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165" w:type="dxa"/>
            <w:noWrap w:val="0"/>
            <w:vAlign w:val="center"/>
          </w:tcPr>
          <w:p w14:paraId="510C6714">
            <w:pPr>
              <w:widowControl/>
              <w:spacing w:line="280" w:lineRule="exact"/>
              <w:jc w:val="center"/>
              <w:rPr>
                <w:rFonts w:hint="eastAsia" w:ascii="宋体" w:hAnsi="宋体" w:eastAsia="宋体" w:cs="宋体"/>
                <w:sz w:val="24"/>
                <w:highlight w:val="none"/>
              </w:rPr>
            </w:pP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完整性</w:t>
            </w:r>
          </w:p>
        </w:tc>
        <w:tc>
          <w:tcPr>
            <w:tcW w:w="3430" w:type="dxa"/>
            <w:noWrap w:val="0"/>
            <w:vAlign w:val="center"/>
          </w:tcPr>
          <w:p w14:paraId="68300DAA">
            <w:pPr>
              <w:widowControl/>
              <w:spacing w:line="280" w:lineRule="exact"/>
              <w:jc w:val="center"/>
              <w:rPr>
                <w:rFonts w:hint="eastAsia" w:ascii="宋体" w:hAnsi="宋体" w:eastAsia="宋体" w:cs="宋体"/>
                <w:sz w:val="24"/>
                <w:highlight w:val="none"/>
              </w:rPr>
            </w:pP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内容齐全、无遗漏</w:t>
            </w:r>
          </w:p>
        </w:tc>
        <w:tc>
          <w:tcPr>
            <w:tcW w:w="1853" w:type="dxa"/>
            <w:noWrap w:val="0"/>
            <w:vAlign w:val="center"/>
          </w:tcPr>
          <w:p w14:paraId="268CDB60">
            <w:pPr>
              <w:spacing w:line="440" w:lineRule="exact"/>
              <w:rPr>
                <w:rFonts w:hint="eastAsia" w:ascii="宋体" w:hAnsi="宋体" w:eastAsia="宋体" w:cs="宋体"/>
                <w:sz w:val="24"/>
                <w:highlight w:val="none"/>
              </w:rPr>
            </w:pPr>
          </w:p>
        </w:tc>
        <w:tc>
          <w:tcPr>
            <w:tcW w:w="1847" w:type="dxa"/>
            <w:noWrap w:val="0"/>
            <w:vAlign w:val="center"/>
          </w:tcPr>
          <w:p w14:paraId="2E7CAF75">
            <w:pPr>
              <w:spacing w:line="440" w:lineRule="exact"/>
              <w:rPr>
                <w:rFonts w:hint="eastAsia" w:ascii="宋体" w:hAnsi="宋体" w:eastAsia="宋体" w:cs="宋体"/>
                <w:sz w:val="24"/>
                <w:highlight w:val="none"/>
              </w:rPr>
            </w:pPr>
          </w:p>
        </w:tc>
      </w:tr>
      <w:tr w14:paraId="558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14:paraId="3556623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结论(通过/不通过)</w:t>
            </w:r>
          </w:p>
        </w:tc>
        <w:tc>
          <w:tcPr>
            <w:tcW w:w="3700" w:type="dxa"/>
            <w:gridSpan w:val="2"/>
            <w:noWrap w:val="0"/>
            <w:vAlign w:val="center"/>
          </w:tcPr>
          <w:p w14:paraId="445582E3">
            <w:pPr>
              <w:spacing w:line="440" w:lineRule="exact"/>
              <w:jc w:val="center"/>
              <w:rPr>
                <w:rFonts w:hint="eastAsia" w:ascii="宋体" w:hAnsi="宋体" w:eastAsia="宋体" w:cs="宋体"/>
                <w:sz w:val="24"/>
                <w:highlight w:val="none"/>
              </w:rPr>
            </w:pPr>
          </w:p>
        </w:tc>
      </w:tr>
    </w:tbl>
    <w:p w14:paraId="19411A74">
      <w:pPr>
        <w:spacing w:line="500" w:lineRule="exact"/>
        <w:ind w:firstLine="427" w:firstLineChars="178"/>
        <w:rPr>
          <w:rFonts w:hint="eastAsia" w:ascii="宋体" w:hAnsi="宋体" w:eastAsia="宋体" w:cs="宋体"/>
          <w:sz w:val="24"/>
          <w:highlight w:val="none"/>
        </w:rPr>
      </w:pPr>
      <w:r>
        <w:rPr>
          <w:rFonts w:hint="eastAsia" w:ascii="宋体" w:hAnsi="宋体" w:eastAsia="宋体" w:cs="宋体"/>
          <w:sz w:val="24"/>
          <w:highlight w:val="none"/>
        </w:rPr>
        <w:t>备注：1、评审小组应对有效供应商的上述检查条件查验是否合格，合格者划√，不合格者划×，同时还应核对提供文件的响应性。</w:t>
      </w:r>
    </w:p>
    <w:p w14:paraId="77F04B98">
      <w:pPr>
        <w:spacing w:line="500" w:lineRule="exact"/>
        <w:ind w:firstLine="427" w:firstLineChars="178"/>
        <w:rPr>
          <w:rFonts w:hint="eastAsia" w:ascii="宋体" w:hAnsi="宋体" w:eastAsia="宋体" w:cs="宋体"/>
          <w:sz w:val="24"/>
          <w:highlight w:val="none"/>
        </w:rPr>
      </w:pPr>
      <w:r>
        <w:rPr>
          <w:rFonts w:hint="eastAsia" w:ascii="宋体" w:hAnsi="宋体" w:eastAsia="宋体" w:cs="宋体"/>
          <w:sz w:val="24"/>
          <w:highlight w:val="none"/>
        </w:rPr>
        <w:t>2、对符合性检查未通过者，不应进入下一步评审。</w:t>
      </w:r>
    </w:p>
    <w:p w14:paraId="53FC4472">
      <w:pPr>
        <w:tabs>
          <w:tab w:val="left" w:pos="6480"/>
        </w:tabs>
        <w:spacing w:line="360" w:lineRule="auto"/>
        <w:jc w:val="left"/>
        <w:rPr>
          <w:rFonts w:hint="eastAsia" w:ascii="宋体" w:hAnsi="宋体" w:cs="宋体"/>
          <w:b/>
          <w:color w:val="auto"/>
          <w:sz w:val="28"/>
          <w:szCs w:val="28"/>
          <w:highlight w:val="none"/>
          <w:lang w:val="en-US" w:eastAsia="zh-CN"/>
        </w:rPr>
      </w:pPr>
    </w:p>
    <w:p w14:paraId="6D321429">
      <w:pPr>
        <w:tabs>
          <w:tab w:val="left" w:pos="6480"/>
        </w:tabs>
        <w:spacing w:line="360" w:lineRule="auto"/>
        <w:jc w:val="left"/>
        <w:rPr>
          <w:rFonts w:hint="eastAsia" w:ascii="宋体" w:hAnsi="宋体" w:cs="宋体"/>
          <w:b/>
          <w:color w:val="auto"/>
          <w:sz w:val="28"/>
          <w:szCs w:val="28"/>
          <w:highlight w:val="none"/>
          <w:lang w:val="en-US" w:eastAsia="zh-CN"/>
        </w:rPr>
      </w:pPr>
    </w:p>
    <w:p w14:paraId="6D20243C">
      <w:pPr>
        <w:tabs>
          <w:tab w:val="left" w:pos="6480"/>
        </w:tabs>
        <w:spacing w:line="360" w:lineRule="auto"/>
        <w:jc w:val="left"/>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10"/>
        <w:gridCol w:w="1140"/>
        <w:gridCol w:w="7570"/>
      </w:tblGrid>
      <w:tr w14:paraId="68F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310" w:type="dxa"/>
            <w:vMerge w:val="restart"/>
            <w:noWrap w:val="0"/>
            <w:tcMar>
              <w:top w:w="0" w:type="dxa"/>
              <w:left w:w="105" w:type="dxa"/>
              <w:bottom w:w="0" w:type="dxa"/>
              <w:right w:w="105" w:type="dxa"/>
            </w:tcMar>
            <w:vAlign w:val="center"/>
          </w:tcPr>
          <w:p w14:paraId="23092AA7">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评分项目</w:t>
            </w:r>
          </w:p>
        </w:tc>
        <w:tc>
          <w:tcPr>
            <w:tcW w:w="1140" w:type="dxa"/>
            <w:vMerge w:val="restart"/>
            <w:noWrap w:val="0"/>
            <w:tcMar>
              <w:top w:w="0" w:type="dxa"/>
              <w:left w:w="105" w:type="dxa"/>
              <w:bottom w:w="0" w:type="dxa"/>
              <w:right w:w="105" w:type="dxa"/>
            </w:tcMar>
            <w:vAlign w:val="center"/>
          </w:tcPr>
          <w:p w14:paraId="557BF90B">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标准分</w:t>
            </w:r>
          </w:p>
        </w:tc>
        <w:tc>
          <w:tcPr>
            <w:tcW w:w="7570" w:type="dxa"/>
            <w:vMerge w:val="restart"/>
            <w:noWrap w:val="0"/>
            <w:tcMar>
              <w:top w:w="0" w:type="dxa"/>
              <w:left w:w="105" w:type="dxa"/>
              <w:bottom w:w="0" w:type="dxa"/>
              <w:right w:w="105" w:type="dxa"/>
            </w:tcMar>
            <w:vAlign w:val="center"/>
          </w:tcPr>
          <w:p w14:paraId="6089FD84">
            <w:pPr>
              <w:widowControl/>
              <w:spacing w:before="150" w:after="150" w:line="360" w:lineRule="atLeast"/>
              <w:jc w:val="center"/>
              <w:rPr>
                <w:rFonts w:ascii="宋体" w:hAnsi="宋体" w:cs="宋体"/>
                <w:kern w:val="0"/>
                <w:sz w:val="24"/>
                <w:highlight w:val="none"/>
              </w:rPr>
            </w:pPr>
            <w:r>
              <w:rPr>
                <w:rFonts w:hint="eastAsia" w:ascii="宋体" w:hAnsi="宋体" w:cs="宋体"/>
                <w:b/>
                <w:bCs/>
                <w:kern w:val="0"/>
                <w:sz w:val="24"/>
                <w:highlight w:val="none"/>
              </w:rPr>
              <w:t>评分标准</w:t>
            </w:r>
          </w:p>
        </w:tc>
      </w:tr>
      <w:tr w14:paraId="764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3B2406BC">
            <w:pPr>
              <w:widowControl/>
              <w:jc w:val="left"/>
              <w:rPr>
                <w:rFonts w:ascii="宋体" w:hAnsi="宋体" w:cs="宋体"/>
                <w:kern w:val="0"/>
                <w:sz w:val="24"/>
                <w:highlight w:val="none"/>
              </w:rPr>
            </w:pPr>
          </w:p>
        </w:tc>
        <w:tc>
          <w:tcPr>
            <w:tcW w:w="1140" w:type="dxa"/>
            <w:vMerge w:val="continue"/>
            <w:noWrap w:val="0"/>
            <w:vAlign w:val="center"/>
          </w:tcPr>
          <w:p w14:paraId="6AF55DFC">
            <w:pPr>
              <w:widowControl/>
              <w:jc w:val="left"/>
              <w:rPr>
                <w:rFonts w:ascii="宋体" w:hAnsi="宋体" w:cs="宋体"/>
                <w:kern w:val="0"/>
                <w:sz w:val="24"/>
                <w:highlight w:val="none"/>
              </w:rPr>
            </w:pPr>
          </w:p>
        </w:tc>
        <w:tc>
          <w:tcPr>
            <w:tcW w:w="7570" w:type="dxa"/>
            <w:vMerge w:val="continue"/>
            <w:noWrap w:val="0"/>
            <w:vAlign w:val="center"/>
          </w:tcPr>
          <w:p w14:paraId="1470EBFF">
            <w:pPr>
              <w:widowControl/>
              <w:jc w:val="left"/>
              <w:rPr>
                <w:rFonts w:ascii="宋体" w:hAnsi="宋体" w:cs="宋体"/>
                <w:kern w:val="0"/>
                <w:sz w:val="24"/>
                <w:highlight w:val="none"/>
              </w:rPr>
            </w:pPr>
          </w:p>
        </w:tc>
      </w:tr>
      <w:tr w14:paraId="639A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8" w:hRule="atLeast"/>
        </w:trPr>
        <w:tc>
          <w:tcPr>
            <w:tcW w:w="1310" w:type="dxa"/>
            <w:noWrap w:val="0"/>
            <w:tcMar>
              <w:top w:w="0" w:type="dxa"/>
              <w:left w:w="105" w:type="dxa"/>
              <w:bottom w:w="0" w:type="dxa"/>
              <w:right w:w="105" w:type="dxa"/>
            </w:tcMar>
            <w:vAlign w:val="center"/>
          </w:tcPr>
          <w:p w14:paraId="6FB250A0">
            <w:pPr>
              <w:widowControl/>
              <w:spacing w:before="150" w:after="150" w:line="360" w:lineRule="atLeast"/>
              <w:jc w:val="center"/>
              <w:rPr>
                <w:rFonts w:ascii="宋体" w:hAnsi="宋体" w:cs="宋体"/>
                <w:kern w:val="0"/>
                <w:sz w:val="24"/>
                <w:highlight w:val="none"/>
              </w:rPr>
            </w:pPr>
            <w:r>
              <w:rPr>
                <w:rFonts w:hint="eastAsia" w:ascii="宋体" w:hAnsi="宋体" w:cs="宋体"/>
                <w:kern w:val="0"/>
                <w:sz w:val="24"/>
                <w:highlight w:val="none"/>
              </w:rPr>
              <w:t>投标报价</w:t>
            </w:r>
          </w:p>
        </w:tc>
        <w:tc>
          <w:tcPr>
            <w:tcW w:w="1140" w:type="dxa"/>
            <w:noWrap w:val="0"/>
            <w:tcMar>
              <w:top w:w="0" w:type="dxa"/>
              <w:left w:w="105" w:type="dxa"/>
              <w:bottom w:w="0" w:type="dxa"/>
              <w:right w:w="105" w:type="dxa"/>
            </w:tcMar>
            <w:vAlign w:val="center"/>
          </w:tcPr>
          <w:p w14:paraId="2A3040CB">
            <w:pPr>
              <w:widowControl/>
              <w:spacing w:before="150" w:after="150" w:line="360"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30</w:t>
            </w:r>
          </w:p>
        </w:tc>
        <w:tc>
          <w:tcPr>
            <w:tcW w:w="7570" w:type="dxa"/>
            <w:noWrap w:val="0"/>
            <w:tcMar>
              <w:top w:w="0" w:type="dxa"/>
              <w:left w:w="105" w:type="dxa"/>
              <w:bottom w:w="0" w:type="dxa"/>
              <w:right w:w="105" w:type="dxa"/>
            </w:tcMar>
            <w:vAlign w:val="center"/>
          </w:tcPr>
          <w:p w14:paraId="2DBF9954">
            <w:pPr>
              <w:widowControl/>
              <w:spacing w:before="150" w:after="150" w:line="360" w:lineRule="atLeas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highlight w:val="none"/>
                <w:lang w:val="en-US" w:eastAsia="zh-CN"/>
              </w:rPr>
              <w:t>30</w:t>
            </w:r>
          </w:p>
        </w:tc>
      </w:tr>
      <w:tr w14:paraId="2D86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1310" w:type="dxa"/>
            <w:noWrap w:val="0"/>
            <w:tcMar>
              <w:top w:w="0" w:type="dxa"/>
              <w:left w:w="105" w:type="dxa"/>
              <w:bottom w:w="0" w:type="dxa"/>
              <w:right w:w="105" w:type="dxa"/>
            </w:tcMar>
            <w:vAlign w:val="center"/>
          </w:tcPr>
          <w:p w14:paraId="038ED5BD">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货物规格参数</w:t>
            </w:r>
          </w:p>
        </w:tc>
        <w:tc>
          <w:tcPr>
            <w:tcW w:w="1140" w:type="dxa"/>
            <w:noWrap w:val="0"/>
            <w:tcMar>
              <w:top w:w="0" w:type="dxa"/>
              <w:left w:w="105" w:type="dxa"/>
              <w:bottom w:w="0" w:type="dxa"/>
              <w:right w:w="105" w:type="dxa"/>
            </w:tcMar>
            <w:vAlign w:val="center"/>
          </w:tcPr>
          <w:p w14:paraId="546F1376">
            <w:pPr>
              <w:widowControl/>
              <w:spacing w:line="315"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30</w:t>
            </w:r>
          </w:p>
        </w:tc>
        <w:tc>
          <w:tcPr>
            <w:tcW w:w="7570" w:type="dxa"/>
            <w:noWrap w:val="0"/>
            <w:tcMar>
              <w:top w:w="0" w:type="dxa"/>
              <w:left w:w="105" w:type="dxa"/>
              <w:bottom w:w="0" w:type="dxa"/>
              <w:right w:w="105" w:type="dxa"/>
            </w:tcMar>
            <w:vAlign w:val="center"/>
          </w:tcPr>
          <w:p w14:paraId="45C11540">
            <w:pPr>
              <w:widowControl/>
              <w:spacing w:line="315" w:lineRule="atLeast"/>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全部</w:t>
            </w:r>
            <w:r>
              <w:rPr>
                <w:rFonts w:hint="eastAsia" w:ascii="宋体" w:hAnsi="宋体" w:cs="宋体"/>
                <w:kern w:val="0"/>
                <w:sz w:val="24"/>
                <w:highlight w:val="none"/>
              </w:rPr>
              <w:t>满足各项技术指标评价</w:t>
            </w:r>
            <w:r>
              <w:rPr>
                <w:rFonts w:hint="eastAsia" w:ascii="宋体" w:hAnsi="宋体" w:cs="宋体"/>
                <w:kern w:val="0"/>
                <w:sz w:val="24"/>
                <w:highlight w:val="none"/>
                <w:lang w:val="en-US" w:eastAsia="zh-CN"/>
              </w:rPr>
              <w:t>得3</w:t>
            </w:r>
            <w:r>
              <w:rPr>
                <w:rFonts w:hint="eastAsia" w:ascii="宋体" w:hAnsi="宋体" w:cs="宋体"/>
                <w:kern w:val="0"/>
                <w:sz w:val="24"/>
                <w:highlight w:val="none"/>
              </w:rPr>
              <w:t>0分；有一项技术指标不满足要求的扣</w:t>
            </w:r>
            <w:r>
              <w:rPr>
                <w:rFonts w:hint="eastAsia" w:ascii="宋体" w:hAnsi="宋体" w:cs="宋体"/>
                <w:kern w:val="0"/>
                <w:sz w:val="24"/>
                <w:highlight w:val="none"/>
                <w:lang w:val="en-US" w:eastAsia="zh-CN"/>
              </w:rPr>
              <w:t>5</w:t>
            </w:r>
            <w:r>
              <w:rPr>
                <w:rFonts w:hint="eastAsia" w:ascii="宋体" w:hAnsi="宋体" w:cs="宋体"/>
                <w:kern w:val="0"/>
                <w:sz w:val="24"/>
                <w:highlight w:val="none"/>
              </w:rPr>
              <w:t>分，最低得分为0分。</w:t>
            </w:r>
          </w:p>
        </w:tc>
      </w:tr>
      <w:tr w14:paraId="5E4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1310" w:type="dxa"/>
            <w:noWrap w:val="0"/>
            <w:tcMar>
              <w:top w:w="0" w:type="dxa"/>
              <w:left w:w="105" w:type="dxa"/>
              <w:bottom w:w="0" w:type="dxa"/>
              <w:right w:w="105" w:type="dxa"/>
            </w:tcMar>
            <w:vAlign w:val="center"/>
          </w:tcPr>
          <w:p w14:paraId="1AEABE98">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技术先进性和可靠性</w:t>
            </w:r>
          </w:p>
        </w:tc>
        <w:tc>
          <w:tcPr>
            <w:tcW w:w="1140" w:type="dxa"/>
            <w:noWrap w:val="0"/>
            <w:tcMar>
              <w:top w:w="0" w:type="dxa"/>
              <w:left w:w="105" w:type="dxa"/>
              <w:bottom w:w="0" w:type="dxa"/>
              <w:right w:w="105" w:type="dxa"/>
            </w:tcMar>
            <w:vAlign w:val="center"/>
          </w:tcPr>
          <w:p w14:paraId="0CEAD81E">
            <w:pPr>
              <w:widowControl/>
              <w:spacing w:line="315" w:lineRule="atLeas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20</w:t>
            </w:r>
          </w:p>
        </w:tc>
        <w:tc>
          <w:tcPr>
            <w:tcW w:w="7570" w:type="dxa"/>
            <w:noWrap w:val="0"/>
            <w:tcMar>
              <w:top w:w="0" w:type="dxa"/>
              <w:left w:w="105" w:type="dxa"/>
              <w:bottom w:w="0" w:type="dxa"/>
              <w:right w:w="105" w:type="dxa"/>
            </w:tcMar>
            <w:vAlign w:val="center"/>
          </w:tcPr>
          <w:p w14:paraId="48517010">
            <w:pPr>
              <w:widowControl/>
              <w:spacing w:line="315" w:lineRule="atLeast"/>
              <w:jc w:val="left"/>
              <w:rPr>
                <w:rFonts w:ascii="宋体" w:hAnsi="宋体" w:cs="宋体"/>
                <w:kern w:val="0"/>
                <w:sz w:val="24"/>
                <w:highlight w:val="none"/>
              </w:rPr>
            </w:pPr>
            <w:r>
              <w:rPr>
                <w:rFonts w:hint="eastAsia" w:ascii="宋体" w:hAnsi="宋体" w:cs="宋体"/>
                <w:kern w:val="0"/>
                <w:sz w:val="24"/>
                <w:highlight w:val="none"/>
              </w:rPr>
              <w:t>设备技术先进的得</w:t>
            </w:r>
            <w:r>
              <w:rPr>
                <w:rFonts w:hint="eastAsia" w:ascii="宋体" w:hAnsi="宋体" w:cs="宋体"/>
                <w:kern w:val="0"/>
                <w:sz w:val="24"/>
                <w:highlight w:val="none"/>
                <w:lang w:val="en-US" w:eastAsia="zh-CN"/>
              </w:rPr>
              <w:t>20</w:t>
            </w:r>
            <w:r>
              <w:rPr>
                <w:rFonts w:hint="eastAsia" w:ascii="宋体" w:hAnsi="宋体" w:cs="宋体"/>
                <w:kern w:val="0"/>
                <w:sz w:val="24"/>
                <w:highlight w:val="none"/>
              </w:rPr>
              <w:t>分；技术较先进的得</w:t>
            </w:r>
            <w:r>
              <w:rPr>
                <w:rFonts w:hint="eastAsia" w:ascii="宋体" w:hAnsi="宋体" w:cs="宋体"/>
                <w:kern w:val="0"/>
                <w:sz w:val="24"/>
                <w:highlight w:val="none"/>
                <w:lang w:val="en-US" w:eastAsia="zh-CN"/>
              </w:rPr>
              <w:t>10</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r>
      <w:tr w14:paraId="37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1310" w:type="dxa"/>
            <w:noWrap w:val="0"/>
            <w:tcMar>
              <w:top w:w="0" w:type="dxa"/>
              <w:left w:w="105" w:type="dxa"/>
              <w:bottom w:w="0" w:type="dxa"/>
              <w:right w:w="105" w:type="dxa"/>
            </w:tcMar>
            <w:vAlign w:val="center"/>
          </w:tcPr>
          <w:p w14:paraId="56E27675">
            <w:pPr>
              <w:widowControl/>
              <w:jc w:val="left"/>
              <w:rPr>
                <w:rFonts w:ascii="宋体" w:hAnsi="宋体" w:cs="宋体"/>
                <w:kern w:val="0"/>
                <w:sz w:val="24"/>
                <w:highlight w:val="none"/>
              </w:rPr>
            </w:pPr>
            <w:r>
              <w:rPr>
                <w:rFonts w:hint="eastAsia" w:ascii="宋体" w:hAnsi="宋体" w:cs="宋体"/>
                <w:kern w:val="0"/>
                <w:sz w:val="24"/>
                <w:highlight w:val="none"/>
              </w:rPr>
              <w:t>售后服务</w:t>
            </w:r>
          </w:p>
        </w:tc>
        <w:tc>
          <w:tcPr>
            <w:tcW w:w="1140" w:type="dxa"/>
            <w:noWrap w:val="0"/>
            <w:tcMar>
              <w:top w:w="0" w:type="dxa"/>
              <w:left w:w="105" w:type="dxa"/>
              <w:bottom w:w="0" w:type="dxa"/>
              <w:right w:w="105" w:type="dxa"/>
            </w:tcMar>
            <w:vAlign w:val="center"/>
          </w:tcPr>
          <w:p w14:paraId="330EB15B">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20</w:t>
            </w:r>
          </w:p>
        </w:tc>
        <w:tc>
          <w:tcPr>
            <w:tcW w:w="7570" w:type="dxa"/>
            <w:noWrap w:val="0"/>
            <w:tcMar>
              <w:top w:w="0" w:type="dxa"/>
              <w:left w:w="105" w:type="dxa"/>
              <w:bottom w:w="0" w:type="dxa"/>
              <w:right w:w="105" w:type="dxa"/>
            </w:tcMar>
            <w:vAlign w:val="center"/>
          </w:tcPr>
          <w:p w14:paraId="785C79C0">
            <w:pPr>
              <w:widowControl/>
              <w:spacing w:line="315" w:lineRule="atLeast"/>
              <w:jc w:val="left"/>
              <w:rPr>
                <w:rFonts w:ascii="宋体" w:hAnsi="宋体" w:cs="宋体"/>
                <w:kern w:val="0"/>
                <w:sz w:val="24"/>
                <w:highlight w:val="none"/>
              </w:rPr>
            </w:pPr>
            <w:r>
              <w:rPr>
                <w:rFonts w:hint="eastAsia" w:ascii="宋体" w:hAnsi="宋体" w:cs="宋体"/>
                <w:kern w:val="0"/>
                <w:sz w:val="24"/>
                <w:highlight w:val="none"/>
              </w:rPr>
              <w:t>1、在本地、市、省一级有专职维修人员分别得</w:t>
            </w:r>
            <w:r>
              <w:rPr>
                <w:rFonts w:hint="eastAsia" w:ascii="宋体" w:hAnsi="宋体" w:cs="宋体"/>
                <w:kern w:val="0"/>
                <w:sz w:val="24"/>
                <w:highlight w:val="none"/>
                <w:lang w:val="en-US" w:eastAsia="zh-CN"/>
              </w:rPr>
              <w:t>10</w:t>
            </w:r>
            <w:r>
              <w:rPr>
                <w:rFonts w:hint="eastAsia" w:ascii="宋体" w:hAnsi="宋体" w:cs="宋体"/>
                <w:kern w:val="0"/>
                <w:sz w:val="24"/>
                <w:highlight w:val="none"/>
              </w:rPr>
              <w:t>、</w:t>
            </w:r>
            <w:r>
              <w:rPr>
                <w:rFonts w:hint="eastAsia" w:ascii="宋体" w:hAnsi="宋体" w:cs="宋体"/>
                <w:kern w:val="0"/>
                <w:sz w:val="24"/>
                <w:highlight w:val="none"/>
                <w:lang w:val="en-US" w:eastAsia="zh-CN"/>
              </w:rPr>
              <w:t>8</w:t>
            </w: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p w14:paraId="1F8B37E6">
            <w:pPr>
              <w:widowControl/>
              <w:spacing w:line="315" w:lineRule="atLeas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val="en-US" w:eastAsia="zh-CN"/>
              </w:rPr>
              <w:t>售后服务应急响应时间：≤2小时得10分；2-12小时得7分；12-24小时得4分；≥24小时不得分。</w:t>
            </w:r>
          </w:p>
        </w:tc>
      </w:tr>
      <w:tr w14:paraId="793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310" w:type="dxa"/>
            <w:noWrap w:val="0"/>
            <w:tcMar>
              <w:top w:w="0" w:type="dxa"/>
              <w:left w:w="105" w:type="dxa"/>
              <w:bottom w:w="0" w:type="dxa"/>
              <w:right w:w="105" w:type="dxa"/>
            </w:tcMar>
            <w:vAlign w:val="center"/>
          </w:tcPr>
          <w:p w14:paraId="3271B0F2">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合计</w:t>
            </w:r>
          </w:p>
        </w:tc>
        <w:tc>
          <w:tcPr>
            <w:tcW w:w="1140" w:type="dxa"/>
            <w:noWrap w:val="0"/>
            <w:tcMar>
              <w:top w:w="0" w:type="dxa"/>
              <w:left w:w="105" w:type="dxa"/>
              <w:bottom w:w="0" w:type="dxa"/>
              <w:right w:w="105" w:type="dxa"/>
            </w:tcMar>
            <w:vAlign w:val="center"/>
          </w:tcPr>
          <w:p w14:paraId="465E125E">
            <w:pPr>
              <w:widowControl/>
              <w:spacing w:line="315" w:lineRule="atLeast"/>
              <w:jc w:val="center"/>
              <w:rPr>
                <w:rFonts w:ascii="宋体" w:hAnsi="宋体" w:cs="宋体"/>
                <w:kern w:val="0"/>
                <w:sz w:val="24"/>
                <w:highlight w:val="none"/>
              </w:rPr>
            </w:pPr>
            <w:r>
              <w:rPr>
                <w:rFonts w:hint="eastAsia" w:ascii="宋体" w:hAnsi="宋体" w:cs="宋体"/>
                <w:kern w:val="0"/>
                <w:sz w:val="24"/>
                <w:highlight w:val="none"/>
              </w:rPr>
              <w:t>100</w:t>
            </w:r>
          </w:p>
        </w:tc>
        <w:tc>
          <w:tcPr>
            <w:tcW w:w="7570" w:type="dxa"/>
            <w:noWrap w:val="0"/>
            <w:tcMar>
              <w:top w:w="0" w:type="dxa"/>
              <w:left w:w="105" w:type="dxa"/>
              <w:bottom w:w="0" w:type="dxa"/>
              <w:right w:w="105" w:type="dxa"/>
            </w:tcMar>
            <w:vAlign w:val="center"/>
          </w:tcPr>
          <w:p w14:paraId="5BB4D4F2">
            <w:pPr>
              <w:widowControl/>
              <w:jc w:val="left"/>
              <w:rPr>
                <w:rFonts w:ascii="宋体" w:hAnsi="宋体" w:cs="宋体"/>
                <w:kern w:val="0"/>
                <w:sz w:val="24"/>
                <w:highlight w:val="none"/>
              </w:rPr>
            </w:pPr>
          </w:p>
        </w:tc>
      </w:tr>
    </w:tbl>
    <w:p w14:paraId="6EF7BC14">
      <w:pPr>
        <w:pStyle w:val="5"/>
        <w:rPr>
          <w:rFonts w:hint="eastAsia" w:ascii="宋体" w:hAnsi="宋体" w:eastAsia="宋体" w:cs="宋体"/>
          <w:b/>
          <w:color w:val="auto"/>
          <w:sz w:val="24"/>
          <w:szCs w:val="24"/>
          <w:highlight w:val="none"/>
        </w:rPr>
      </w:pPr>
    </w:p>
    <w:p w14:paraId="070E61D0">
      <w:pPr>
        <w:pStyle w:val="21"/>
        <w:rPr>
          <w:rFonts w:hint="eastAsia" w:ascii="宋体" w:hAnsi="宋体" w:eastAsia="宋体" w:cs="宋体"/>
          <w:b/>
          <w:color w:val="auto"/>
          <w:sz w:val="24"/>
          <w:szCs w:val="24"/>
          <w:highlight w:val="none"/>
        </w:rPr>
      </w:pPr>
    </w:p>
    <w:p w14:paraId="16B6E8DE">
      <w:pPr>
        <w:rPr>
          <w:rFonts w:hint="eastAsia" w:ascii="宋体" w:hAnsi="宋体" w:eastAsia="宋体" w:cs="宋体"/>
          <w:b/>
          <w:color w:val="auto"/>
          <w:sz w:val="24"/>
          <w:szCs w:val="24"/>
          <w:highlight w:val="none"/>
        </w:rPr>
      </w:pPr>
    </w:p>
    <w:p w14:paraId="04D43F0F">
      <w:pPr>
        <w:rPr>
          <w:rFonts w:hint="eastAsia" w:ascii="宋体" w:hAnsi="宋体" w:eastAsia="宋体" w:cs="宋体"/>
          <w:b/>
          <w:color w:val="auto"/>
          <w:sz w:val="24"/>
          <w:szCs w:val="24"/>
          <w:highlight w:val="none"/>
        </w:rPr>
      </w:pPr>
    </w:p>
    <w:p w14:paraId="0BC389C3">
      <w:pPr>
        <w:rPr>
          <w:rFonts w:hint="eastAsia" w:ascii="宋体" w:hAnsi="宋体" w:eastAsia="宋体" w:cs="宋体"/>
          <w:b/>
          <w:color w:val="auto"/>
          <w:sz w:val="24"/>
          <w:szCs w:val="24"/>
          <w:highlight w:val="none"/>
        </w:rPr>
      </w:pPr>
    </w:p>
    <w:p w14:paraId="2514C1AE">
      <w:pPr>
        <w:pStyle w:val="21"/>
        <w:rPr>
          <w:rFonts w:hint="eastAsia"/>
          <w:highlight w:val="none"/>
        </w:rPr>
      </w:pPr>
    </w:p>
    <w:p w14:paraId="6DDD956E">
      <w:pPr>
        <w:pStyle w:val="26"/>
        <w:ind w:firstLine="643"/>
        <w:jc w:val="center"/>
        <w:rPr>
          <w:rFonts w:hint="eastAsia" w:ascii="宋体" w:hAnsi="宋体" w:eastAsia="宋体" w:cs="宋体"/>
          <w:bCs/>
          <w:sz w:val="32"/>
          <w:szCs w:val="32"/>
          <w:highlight w:val="none"/>
        </w:rPr>
      </w:pPr>
      <w:r>
        <w:rPr>
          <w:rFonts w:hint="eastAsia" w:ascii="宋体" w:hAnsi="宋体" w:eastAsia="宋体" w:cs="宋体"/>
          <w:b/>
          <w:sz w:val="36"/>
          <w:szCs w:val="36"/>
          <w:highlight w:val="none"/>
        </w:rPr>
        <w:t>第</w:t>
      </w:r>
      <w:r>
        <w:rPr>
          <w:rFonts w:hint="eastAsia" w:ascii="宋体" w:hAnsi="宋体" w:eastAsia="宋体" w:cs="宋体"/>
          <w:b/>
          <w:sz w:val="36"/>
          <w:szCs w:val="36"/>
          <w:highlight w:val="none"/>
          <w:lang w:val="en-US" w:eastAsia="zh-CN"/>
        </w:rPr>
        <w:t>四</w:t>
      </w:r>
      <w:r>
        <w:rPr>
          <w:rFonts w:hint="eastAsia" w:ascii="宋体" w:hAnsi="宋体" w:eastAsia="宋体" w:cs="宋体"/>
          <w:b/>
          <w:sz w:val="36"/>
          <w:szCs w:val="36"/>
          <w:highlight w:val="none"/>
        </w:rPr>
        <w:t>章  响应文件格式</w:t>
      </w:r>
    </w:p>
    <w:tbl>
      <w:tblPr>
        <w:tblStyle w:val="18"/>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highlight w:val="none"/>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bookmarkStart w:id="0" w:name="_GoBack"/>
      <w:bookmarkEnd w:id="0"/>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21"/>
        <w:rPr>
          <w:rFonts w:hint="eastAsia" w:ascii="宋体" w:hAnsi="宋体" w:eastAsia="宋体" w:cs="宋体"/>
          <w:sz w:val="24"/>
          <w:szCs w:val="24"/>
          <w:highlight w:val="none"/>
        </w:rPr>
      </w:pPr>
    </w:p>
    <w:p w14:paraId="2FCFA64D">
      <w:pPr>
        <w:rPr>
          <w:rFonts w:hint="eastAsia"/>
          <w:highlight w:val="none"/>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6527CC23">
      <w:pPr>
        <w:adjustRightInd w:val="0"/>
        <w:snapToGrid w:val="0"/>
        <w:spacing w:line="360" w:lineRule="auto"/>
        <w:jc w:val="center"/>
        <w:outlineLvl w:val="0"/>
        <w:rPr>
          <w:rFonts w:hint="eastAsia" w:ascii="宋体" w:hAnsi="宋体" w:eastAsia="宋体" w:cs="宋体"/>
          <w:b/>
          <w:sz w:val="28"/>
          <w:szCs w:val="28"/>
          <w:highlight w:val="none"/>
        </w:rPr>
      </w:pPr>
    </w:p>
    <w:p w14:paraId="19019E42">
      <w:pPr>
        <w:pStyle w:val="5"/>
        <w:rPr>
          <w:rFonts w:hint="eastAsia" w:ascii="宋体" w:hAnsi="宋体" w:eastAsia="宋体" w:cs="宋体"/>
          <w:b/>
          <w:sz w:val="28"/>
          <w:szCs w:val="28"/>
          <w:highlight w:val="none"/>
        </w:rPr>
      </w:pPr>
    </w:p>
    <w:p w14:paraId="0DB3B49C">
      <w:pPr>
        <w:pStyle w:val="21"/>
        <w:rPr>
          <w:rFonts w:hint="eastAsia"/>
          <w:highlight w:val="none"/>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6"/>
        <w:numPr>
          <w:ilvl w:val="0"/>
          <w:numId w:val="0"/>
        </w:numPr>
        <w:jc w:val="both"/>
        <w:rPr>
          <w:rFonts w:hint="eastAsia" w:ascii="宋体" w:hAnsi="宋体" w:eastAsia="宋体" w:cs="宋体"/>
          <w:kern w:val="0"/>
          <w:sz w:val="24"/>
          <w:szCs w:val="24"/>
          <w:highlight w:val="none"/>
          <w:lang w:val="en-US" w:eastAsia="zh-CN"/>
        </w:rPr>
      </w:pPr>
    </w:p>
    <w:p w14:paraId="7CE87359">
      <w:pPr>
        <w:pStyle w:val="16"/>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highlight w:val="none"/>
          <w:lang w:val="en-US" w:eastAsia="zh-CN"/>
        </w:rPr>
      </w:pPr>
      <w:r>
        <w:rPr>
          <w:rFonts w:hint="eastAsia" w:ascii="宋体" w:hAnsi="宋体" w:eastAsia="宋体" w:cs="宋体"/>
          <w:kern w:val="0"/>
          <w:sz w:val="24"/>
          <w:szCs w:val="24"/>
          <w:highlight w:val="none"/>
          <w:lang w:val="en-US" w:eastAsia="zh-CN"/>
        </w:rPr>
        <w:t>八、</w:t>
      </w:r>
      <w:r>
        <w:rPr>
          <w:rFonts w:hint="eastAsia"/>
          <w:sz w:val="24"/>
          <w:szCs w:val="24"/>
          <w:highlight w:val="none"/>
          <w:lang w:val="en-US" w:eastAsia="zh-CN"/>
        </w:rPr>
        <w:t>投标人认为其它有必要的其他资料</w:t>
      </w:r>
    </w:p>
    <w:p w14:paraId="3F8E25AF">
      <w:pPr>
        <w:pStyle w:val="21"/>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highlight w:val="none"/>
          <w:lang w:val="en-US" w:eastAsia="zh-CN"/>
        </w:rPr>
      </w:pPr>
      <w:r>
        <w:rPr>
          <w:rFonts w:hint="eastAsia"/>
          <w:sz w:val="24"/>
          <w:szCs w:val="24"/>
          <w:highlight w:val="none"/>
          <w:lang w:val="en-US" w:eastAsia="zh-CN"/>
        </w:rPr>
        <w:t xml:space="preserve">     </w:t>
      </w:r>
    </w:p>
    <w:p w14:paraId="0488BC82">
      <w:pPr>
        <w:pStyle w:val="5"/>
        <w:spacing w:after="0"/>
        <w:rPr>
          <w:rFonts w:hint="default"/>
          <w:sz w:val="24"/>
          <w:szCs w:val="24"/>
          <w:highlight w:val="none"/>
          <w:lang w:val="en-US" w:eastAsia="zh-CN"/>
        </w:rPr>
      </w:pPr>
      <w:r>
        <w:rPr>
          <w:rFonts w:hint="eastAsia"/>
          <w:sz w:val="24"/>
          <w:szCs w:val="24"/>
          <w:highlight w:val="none"/>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7"/>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highlight w:val="none"/>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highlight w:val="none"/>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highlight w:val="none"/>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highlight w:val="none"/>
          <w:lang w:val="en-US" w:eastAsia="zh-CN"/>
        </w:rPr>
      </w:pPr>
    </w:p>
    <w:p w14:paraId="29D0EB6B">
      <w:pPr>
        <w:adjustRightInd w:val="0"/>
        <w:snapToGrid w:val="0"/>
        <w:spacing w:line="360" w:lineRule="auto"/>
        <w:rPr>
          <w:rFonts w:hint="eastAsia" w:ascii="黑体" w:hAnsi="黑体" w:eastAsia="黑体" w:cs="黑体"/>
          <w:spacing w:val="12"/>
          <w:sz w:val="24"/>
          <w:szCs w:val="24"/>
          <w:highlight w:val="none"/>
          <w:lang w:val="en-US" w:eastAsia="zh-CN"/>
        </w:rPr>
      </w:pPr>
    </w:p>
    <w:p w14:paraId="6CDCAE2F">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649D7953">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032CADC5">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kern w:val="0"/>
          <w:sz w:val="24"/>
          <w:highlight w:val="none"/>
          <w:lang w:val="en-US" w:eastAsia="zh-CN"/>
        </w:rPr>
        <w:t>1、</w:t>
      </w:r>
      <w:r>
        <w:rPr>
          <w:rFonts w:hint="eastAsia" w:ascii="宋体" w:hAnsi="宋体" w:eastAsia="宋体" w:cs="宋体"/>
          <w:b/>
          <w:kern w:val="0"/>
          <w:sz w:val="24"/>
          <w:highlight w:val="none"/>
        </w:rPr>
        <w:t>投标人基本情况表</w:t>
      </w:r>
    </w:p>
    <w:tbl>
      <w:tblPr>
        <w:tblStyle w:val="17"/>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highlight w:val="none"/>
              </w:rPr>
            </w:pPr>
            <w:r>
              <w:rPr>
                <w:rFonts w:hint="eastAsia" w:ascii="宋体" w:hAnsi="宋体" w:eastAsia="宋体" w:cs="宋体"/>
                <w:kern w:val="0"/>
                <w:szCs w:val="21"/>
                <w:highlight w:val="none"/>
              </w:rPr>
              <w:t>投标人名称</w:t>
            </w:r>
          </w:p>
        </w:tc>
        <w:tc>
          <w:tcPr>
            <w:tcW w:w="7196" w:type="dxa"/>
            <w:gridSpan w:val="6"/>
            <w:noWrap w:val="0"/>
            <w:vAlign w:val="center"/>
          </w:tcPr>
          <w:p w14:paraId="205E7583">
            <w:pPr>
              <w:jc w:val="center"/>
              <w:rPr>
                <w:rFonts w:hint="eastAsia" w:ascii="宋体" w:hAnsi="宋体" w:eastAsia="宋体" w:cs="宋体"/>
                <w:szCs w:val="21"/>
                <w:highlight w:val="none"/>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4514" w:type="dxa"/>
            <w:gridSpan w:val="4"/>
            <w:noWrap w:val="0"/>
            <w:vAlign w:val="center"/>
          </w:tcPr>
          <w:p w14:paraId="2D1E2285">
            <w:pPr>
              <w:jc w:val="center"/>
              <w:rPr>
                <w:rFonts w:hint="eastAsia" w:ascii="宋体" w:hAnsi="宋体" w:eastAsia="宋体" w:cs="宋体"/>
                <w:szCs w:val="21"/>
                <w:highlight w:val="none"/>
              </w:rPr>
            </w:pPr>
          </w:p>
        </w:tc>
        <w:tc>
          <w:tcPr>
            <w:tcW w:w="1581" w:type="dxa"/>
            <w:noWrap w:val="0"/>
            <w:vAlign w:val="center"/>
          </w:tcPr>
          <w:p w14:paraId="60C87784">
            <w:pPr>
              <w:jc w:val="center"/>
              <w:rPr>
                <w:rFonts w:hint="eastAsia" w:ascii="宋体" w:hAnsi="宋体" w:eastAsia="宋体" w:cs="宋体"/>
                <w:szCs w:val="21"/>
                <w:highlight w:val="none"/>
              </w:rPr>
            </w:pPr>
            <w:r>
              <w:rPr>
                <w:rFonts w:hint="eastAsia" w:ascii="宋体" w:hAnsi="宋体" w:eastAsia="宋体" w:cs="宋体"/>
                <w:szCs w:val="21"/>
                <w:highlight w:val="none"/>
              </w:rPr>
              <w:t>税务登记证号</w:t>
            </w:r>
          </w:p>
        </w:tc>
        <w:tc>
          <w:tcPr>
            <w:tcW w:w="1101" w:type="dxa"/>
            <w:noWrap w:val="0"/>
            <w:vAlign w:val="center"/>
          </w:tcPr>
          <w:p w14:paraId="2956D21E">
            <w:pPr>
              <w:jc w:val="center"/>
              <w:rPr>
                <w:rFonts w:hint="eastAsia" w:ascii="宋体" w:hAnsi="宋体" w:eastAsia="宋体" w:cs="宋体"/>
                <w:szCs w:val="21"/>
                <w:highlight w:val="none"/>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highlight w:val="none"/>
              </w:rPr>
            </w:pPr>
            <w:r>
              <w:rPr>
                <w:rFonts w:hint="eastAsia" w:ascii="宋体" w:hAnsi="宋体" w:eastAsia="宋体" w:cs="宋体"/>
                <w:szCs w:val="21"/>
                <w:highlight w:val="none"/>
              </w:rPr>
              <w:t>地址</w:t>
            </w:r>
          </w:p>
        </w:tc>
        <w:tc>
          <w:tcPr>
            <w:tcW w:w="4514" w:type="dxa"/>
            <w:gridSpan w:val="4"/>
            <w:noWrap w:val="0"/>
            <w:vAlign w:val="center"/>
          </w:tcPr>
          <w:p w14:paraId="789A1B6C">
            <w:pPr>
              <w:jc w:val="center"/>
              <w:rPr>
                <w:rFonts w:hint="eastAsia" w:ascii="宋体" w:hAnsi="宋体" w:eastAsia="宋体" w:cs="宋体"/>
                <w:szCs w:val="21"/>
                <w:highlight w:val="none"/>
              </w:rPr>
            </w:pPr>
          </w:p>
        </w:tc>
        <w:tc>
          <w:tcPr>
            <w:tcW w:w="1581" w:type="dxa"/>
            <w:noWrap w:val="0"/>
            <w:vAlign w:val="center"/>
          </w:tcPr>
          <w:p w14:paraId="716ECBCC">
            <w:pPr>
              <w:jc w:val="center"/>
              <w:rPr>
                <w:rFonts w:hint="eastAsia" w:ascii="宋体" w:hAnsi="宋体" w:eastAsia="宋体" w:cs="宋体"/>
                <w:szCs w:val="21"/>
                <w:highlight w:val="none"/>
              </w:rPr>
            </w:pPr>
            <w:r>
              <w:rPr>
                <w:rFonts w:hint="eastAsia" w:ascii="宋体" w:hAnsi="宋体" w:eastAsia="宋体" w:cs="宋体"/>
                <w:szCs w:val="21"/>
                <w:highlight w:val="none"/>
              </w:rPr>
              <w:t>邮编</w:t>
            </w:r>
          </w:p>
        </w:tc>
        <w:tc>
          <w:tcPr>
            <w:tcW w:w="1101" w:type="dxa"/>
            <w:noWrap w:val="0"/>
            <w:vAlign w:val="center"/>
          </w:tcPr>
          <w:p w14:paraId="1022E33A">
            <w:pPr>
              <w:jc w:val="center"/>
              <w:rPr>
                <w:rFonts w:hint="eastAsia" w:ascii="宋体" w:hAnsi="宋体" w:eastAsia="宋体" w:cs="宋体"/>
                <w:szCs w:val="21"/>
                <w:highlight w:val="none"/>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130" w:type="dxa"/>
            <w:gridSpan w:val="2"/>
            <w:noWrap w:val="0"/>
            <w:vAlign w:val="center"/>
          </w:tcPr>
          <w:p w14:paraId="599C0C9D">
            <w:pPr>
              <w:jc w:val="center"/>
              <w:rPr>
                <w:rFonts w:hint="eastAsia" w:ascii="宋体" w:hAnsi="宋体" w:eastAsia="宋体" w:cs="宋体"/>
                <w:szCs w:val="21"/>
                <w:highlight w:val="none"/>
              </w:rPr>
            </w:pPr>
          </w:p>
        </w:tc>
        <w:tc>
          <w:tcPr>
            <w:tcW w:w="2384" w:type="dxa"/>
            <w:gridSpan w:val="2"/>
            <w:noWrap w:val="0"/>
            <w:vAlign w:val="center"/>
          </w:tcPr>
          <w:p w14:paraId="1BBEE870">
            <w:pPr>
              <w:jc w:val="center"/>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2682" w:type="dxa"/>
            <w:gridSpan w:val="2"/>
            <w:noWrap w:val="0"/>
            <w:vAlign w:val="center"/>
          </w:tcPr>
          <w:p w14:paraId="2D1F8401">
            <w:pPr>
              <w:jc w:val="center"/>
              <w:rPr>
                <w:rFonts w:hint="eastAsia" w:ascii="宋体" w:hAnsi="宋体" w:eastAsia="宋体" w:cs="宋体"/>
                <w:szCs w:val="21"/>
                <w:highlight w:val="none"/>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2130" w:type="dxa"/>
            <w:gridSpan w:val="2"/>
            <w:noWrap w:val="0"/>
            <w:vAlign w:val="center"/>
          </w:tcPr>
          <w:p w14:paraId="37A59A38">
            <w:pPr>
              <w:jc w:val="center"/>
              <w:rPr>
                <w:rFonts w:hint="eastAsia" w:ascii="宋体" w:hAnsi="宋体" w:eastAsia="宋体" w:cs="宋体"/>
                <w:szCs w:val="21"/>
                <w:highlight w:val="none"/>
              </w:rPr>
            </w:pPr>
          </w:p>
        </w:tc>
        <w:tc>
          <w:tcPr>
            <w:tcW w:w="2384" w:type="dxa"/>
            <w:gridSpan w:val="2"/>
            <w:noWrap w:val="0"/>
            <w:vAlign w:val="center"/>
          </w:tcPr>
          <w:p w14:paraId="394A9FC6">
            <w:pPr>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682" w:type="dxa"/>
            <w:gridSpan w:val="2"/>
            <w:noWrap w:val="0"/>
            <w:vAlign w:val="center"/>
          </w:tcPr>
          <w:p w14:paraId="4CEE9C54">
            <w:pPr>
              <w:rPr>
                <w:rFonts w:hint="eastAsia" w:ascii="宋体" w:hAnsi="宋体" w:eastAsia="宋体" w:cs="宋体"/>
                <w:szCs w:val="21"/>
                <w:highlight w:val="none"/>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highlight w:val="none"/>
              </w:rPr>
            </w:pPr>
            <w:r>
              <w:rPr>
                <w:rFonts w:hint="eastAsia" w:ascii="宋体" w:hAnsi="宋体" w:eastAsia="宋体" w:cs="宋体"/>
                <w:kern w:val="0"/>
                <w:szCs w:val="21"/>
                <w:highlight w:val="none"/>
              </w:rPr>
              <w:t>成立时间</w:t>
            </w:r>
          </w:p>
        </w:tc>
        <w:tc>
          <w:tcPr>
            <w:tcW w:w="2130" w:type="dxa"/>
            <w:gridSpan w:val="2"/>
            <w:noWrap w:val="0"/>
            <w:vAlign w:val="center"/>
          </w:tcPr>
          <w:p w14:paraId="389D9CDC">
            <w:pPr>
              <w:ind w:firstLine="945" w:firstLineChars="450"/>
              <w:rPr>
                <w:rFonts w:hint="eastAsia" w:ascii="宋体" w:hAnsi="宋体" w:eastAsia="宋体" w:cs="宋体"/>
                <w:szCs w:val="21"/>
                <w:highlight w:val="none"/>
              </w:rPr>
            </w:pPr>
          </w:p>
        </w:tc>
        <w:tc>
          <w:tcPr>
            <w:tcW w:w="2384" w:type="dxa"/>
            <w:gridSpan w:val="2"/>
            <w:noWrap w:val="0"/>
            <w:vAlign w:val="center"/>
          </w:tcPr>
          <w:p w14:paraId="7C8F9857">
            <w:pPr>
              <w:jc w:val="center"/>
              <w:rPr>
                <w:rFonts w:hint="eastAsia" w:ascii="宋体" w:hAnsi="宋体" w:eastAsia="宋体" w:cs="宋体"/>
                <w:szCs w:val="21"/>
                <w:highlight w:val="none"/>
              </w:rPr>
            </w:pPr>
            <w:r>
              <w:rPr>
                <w:rFonts w:hint="eastAsia" w:ascii="宋体" w:hAnsi="宋体" w:eastAsia="宋体" w:cs="宋体"/>
                <w:szCs w:val="21"/>
                <w:highlight w:val="none"/>
              </w:rPr>
              <w:t>注册资本</w:t>
            </w:r>
          </w:p>
        </w:tc>
        <w:tc>
          <w:tcPr>
            <w:tcW w:w="2682" w:type="dxa"/>
            <w:gridSpan w:val="2"/>
            <w:noWrap w:val="0"/>
            <w:vAlign w:val="center"/>
          </w:tcPr>
          <w:p w14:paraId="2CBF15D5">
            <w:pPr>
              <w:ind w:firstLine="1575" w:firstLineChars="750"/>
              <w:rPr>
                <w:rFonts w:hint="eastAsia" w:ascii="宋体" w:hAnsi="宋体" w:eastAsia="宋体" w:cs="宋体"/>
                <w:szCs w:val="21"/>
                <w:highlight w:val="none"/>
              </w:rPr>
            </w:pPr>
            <w:r>
              <w:rPr>
                <w:rFonts w:hint="eastAsia" w:ascii="宋体" w:hAnsi="宋体" w:eastAsia="宋体" w:cs="宋体"/>
                <w:szCs w:val="21"/>
                <w:highlight w:val="none"/>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7196" w:type="dxa"/>
            <w:gridSpan w:val="6"/>
            <w:noWrap w:val="0"/>
            <w:vAlign w:val="center"/>
          </w:tcPr>
          <w:p w14:paraId="1BC89ADF">
            <w:pPr>
              <w:jc w:val="center"/>
              <w:rPr>
                <w:rFonts w:hint="eastAsia" w:ascii="宋体" w:hAnsi="宋体" w:eastAsia="宋体" w:cs="宋体"/>
                <w:szCs w:val="21"/>
                <w:highlight w:val="none"/>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highlight w:val="none"/>
              </w:rPr>
            </w:pPr>
            <w:r>
              <w:rPr>
                <w:rFonts w:hint="eastAsia" w:ascii="宋体" w:hAnsi="宋体" w:eastAsia="宋体" w:cs="宋体"/>
                <w:szCs w:val="21"/>
                <w:highlight w:val="none"/>
              </w:rPr>
              <w:t>单位员工结构</w:t>
            </w:r>
          </w:p>
        </w:tc>
        <w:tc>
          <w:tcPr>
            <w:tcW w:w="1381" w:type="dxa"/>
            <w:noWrap w:val="0"/>
            <w:vAlign w:val="center"/>
          </w:tcPr>
          <w:p w14:paraId="377EEA59">
            <w:pPr>
              <w:jc w:val="center"/>
              <w:rPr>
                <w:rFonts w:hint="eastAsia" w:ascii="宋体" w:hAnsi="宋体" w:eastAsia="宋体" w:cs="宋体"/>
                <w:szCs w:val="21"/>
                <w:highlight w:val="none"/>
              </w:rPr>
            </w:pPr>
            <w:r>
              <w:rPr>
                <w:rFonts w:hint="eastAsia" w:ascii="宋体" w:hAnsi="宋体" w:eastAsia="宋体" w:cs="宋体"/>
                <w:szCs w:val="21"/>
                <w:highlight w:val="none"/>
              </w:rPr>
              <w:t>员工总数</w:t>
            </w:r>
          </w:p>
        </w:tc>
        <w:tc>
          <w:tcPr>
            <w:tcW w:w="1500" w:type="dxa"/>
            <w:gridSpan w:val="2"/>
            <w:noWrap w:val="0"/>
            <w:vAlign w:val="center"/>
          </w:tcPr>
          <w:p w14:paraId="29C0714D">
            <w:pPr>
              <w:jc w:val="center"/>
              <w:rPr>
                <w:rFonts w:hint="eastAsia" w:ascii="宋体" w:hAnsi="宋体" w:eastAsia="宋体" w:cs="宋体"/>
                <w:szCs w:val="21"/>
                <w:highlight w:val="none"/>
              </w:rPr>
            </w:pPr>
            <w:r>
              <w:rPr>
                <w:rFonts w:hint="eastAsia" w:ascii="宋体" w:hAnsi="宋体" w:eastAsia="宋体" w:cs="宋体"/>
                <w:kern w:val="0"/>
                <w:szCs w:val="21"/>
                <w:highlight w:val="none"/>
              </w:rPr>
              <w:t>管理人员</w:t>
            </w:r>
          </w:p>
        </w:tc>
        <w:tc>
          <w:tcPr>
            <w:tcW w:w="1633" w:type="dxa"/>
            <w:noWrap w:val="0"/>
            <w:vAlign w:val="center"/>
          </w:tcPr>
          <w:p w14:paraId="182879B2">
            <w:pPr>
              <w:jc w:val="center"/>
              <w:rPr>
                <w:rFonts w:hint="eastAsia" w:ascii="宋体" w:hAnsi="宋体" w:eastAsia="宋体" w:cs="宋体"/>
                <w:szCs w:val="21"/>
                <w:highlight w:val="none"/>
              </w:rPr>
            </w:pPr>
            <w:r>
              <w:rPr>
                <w:rFonts w:hint="eastAsia" w:ascii="宋体" w:hAnsi="宋体" w:eastAsia="宋体" w:cs="宋体"/>
                <w:szCs w:val="21"/>
                <w:highlight w:val="none"/>
              </w:rPr>
              <w:t>技术人员</w:t>
            </w:r>
          </w:p>
        </w:tc>
        <w:tc>
          <w:tcPr>
            <w:tcW w:w="1581" w:type="dxa"/>
            <w:noWrap w:val="0"/>
            <w:vAlign w:val="center"/>
          </w:tcPr>
          <w:p w14:paraId="3658A7FE">
            <w:pPr>
              <w:jc w:val="center"/>
              <w:rPr>
                <w:rFonts w:hint="eastAsia" w:ascii="宋体" w:hAnsi="宋体" w:eastAsia="宋体" w:cs="宋体"/>
                <w:szCs w:val="21"/>
                <w:highlight w:val="none"/>
              </w:rPr>
            </w:pPr>
            <w:r>
              <w:rPr>
                <w:rFonts w:hint="eastAsia" w:ascii="宋体" w:hAnsi="宋体" w:eastAsia="宋体" w:cs="宋体"/>
                <w:kern w:val="0"/>
                <w:szCs w:val="21"/>
                <w:highlight w:val="none"/>
              </w:rPr>
              <w:t>售后人员</w:t>
            </w:r>
          </w:p>
        </w:tc>
        <w:tc>
          <w:tcPr>
            <w:tcW w:w="1101" w:type="dxa"/>
            <w:noWrap w:val="0"/>
            <w:vAlign w:val="center"/>
          </w:tcPr>
          <w:p w14:paraId="4259A78B">
            <w:pPr>
              <w:jc w:val="center"/>
              <w:rPr>
                <w:rFonts w:hint="eastAsia" w:ascii="宋体" w:hAnsi="宋体" w:eastAsia="宋体" w:cs="宋体"/>
                <w:szCs w:val="21"/>
                <w:highlight w:val="none"/>
              </w:rPr>
            </w:pPr>
            <w:r>
              <w:rPr>
                <w:rFonts w:hint="eastAsia" w:ascii="宋体" w:hAnsi="宋体" w:eastAsia="宋体" w:cs="宋体"/>
                <w:kern w:val="0"/>
                <w:szCs w:val="21"/>
                <w:highlight w:val="none"/>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highlight w:val="none"/>
              </w:rPr>
            </w:pPr>
          </w:p>
        </w:tc>
        <w:tc>
          <w:tcPr>
            <w:tcW w:w="1381" w:type="dxa"/>
            <w:noWrap w:val="0"/>
            <w:vAlign w:val="center"/>
          </w:tcPr>
          <w:p w14:paraId="5AAEA326">
            <w:pPr>
              <w:jc w:val="center"/>
              <w:rPr>
                <w:rFonts w:hint="eastAsia" w:ascii="宋体" w:hAnsi="宋体" w:eastAsia="宋体" w:cs="宋体"/>
                <w:szCs w:val="21"/>
                <w:highlight w:val="none"/>
              </w:rPr>
            </w:pPr>
          </w:p>
        </w:tc>
        <w:tc>
          <w:tcPr>
            <w:tcW w:w="1500" w:type="dxa"/>
            <w:gridSpan w:val="2"/>
            <w:noWrap w:val="0"/>
            <w:vAlign w:val="center"/>
          </w:tcPr>
          <w:p w14:paraId="1D602EF0">
            <w:pPr>
              <w:jc w:val="center"/>
              <w:rPr>
                <w:rFonts w:hint="eastAsia" w:ascii="宋体" w:hAnsi="宋体" w:eastAsia="宋体" w:cs="宋体"/>
                <w:szCs w:val="21"/>
                <w:highlight w:val="none"/>
              </w:rPr>
            </w:pPr>
          </w:p>
        </w:tc>
        <w:tc>
          <w:tcPr>
            <w:tcW w:w="1633" w:type="dxa"/>
            <w:noWrap w:val="0"/>
            <w:vAlign w:val="center"/>
          </w:tcPr>
          <w:p w14:paraId="29807441">
            <w:pPr>
              <w:jc w:val="center"/>
              <w:rPr>
                <w:rFonts w:hint="eastAsia" w:ascii="宋体" w:hAnsi="宋体" w:eastAsia="宋体" w:cs="宋体"/>
                <w:szCs w:val="21"/>
                <w:highlight w:val="none"/>
              </w:rPr>
            </w:pPr>
          </w:p>
        </w:tc>
        <w:tc>
          <w:tcPr>
            <w:tcW w:w="1581" w:type="dxa"/>
            <w:noWrap w:val="0"/>
            <w:vAlign w:val="center"/>
          </w:tcPr>
          <w:p w14:paraId="4DFA9E86">
            <w:pPr>
              <w:jc w:val="center"/>
              <w:rPr>
                <w:rFonts w:hint="eastAsia" w:ascii="宋体" w:hAnsi="宋体" w:eastAsia="宋体" w:cs="宋体"/>
                <w:szCs w:val="21"/>
                <w:highlight w:val="none"/>
              </w:rPr>
            </w:pPr>
          </w:p>
        </w:tc>
        <w:tc>
          <w:tcPr>
            <w:tcW w:w="1101" w:type="dxa"/>
            <w:noWrap w:val="0"/>
            <w:vAlign w:val="center"/>
          </w:tcPr>
          <w:p w14:paraId="2FE6FE0B">
            <w:pPr>
              <w:jc w:val="center"/>
              <w:rPr>
                <w:rFonts w:hint="eastAsia" w:ascii="宋体" w:hAnsi="宋体" w:eastAsia="宋体" w:cs="宋体"/>
                <w:szCs w:val="21"/>
                <w:highlight w:val="none"/>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highlight w:val="none"/>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highlight w:val="none"/>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highlight w:val="none"/>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198716FB">
      <w:pPr>
        <w:pStyle w:val="16"/>
        <w:rPr>
          <w:rFonts w:hint="eastAsia"/>
          <w:b/>
          <w:bCs/>
          <w:highlight w:val="none"/>
          <w:lang w:val="en-US" w:eastAsia="zh-CN"/>
        </w:rPr>
      </w:pPr>
      <w:r>
        <w:rPr>
          <w:rFonts w:hint="eastAsia"/>
          <w:b/>
          <w:bCs/>
          <w:highlight w:val="none"/>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highlight w:val="none"/>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highlight w:val="none"/>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highlight w:val="none"/>
          <w:lang w:val="en-US" w:eastAsia="zh-CN"/>
        </w:rPr>
        <w:t xml:space="preserve">   </w:t>
      </w:r>
    </w:p>
    <w:p w14:paraId="2600B726">
      <w:pPr>
        <w:spacing w:line="300" w:lineRule="auto"/>
        <w:jc w:val="center"/>
        <w:rPr>
          <w:rFonts w:hint="eastAsia" w:ascii="宋体" w:hAnsi="宋体" w:eastAsia="宋体" w:cs="宋体"/>
          <w:b/>
          <w:sz w:val="24"/>
          <w:szCs w:val="24"/>
          <w:highlight w:val="none"/>
          <w:lang w:val="en-US" w:eastAsia="zh-CN"/>
        </w:rPr>
      </w:pPr>
    </w:p>
    <w:p w14:paraId="14E7781D">
      <w:pPr>
        <w:spacing w:line="300" w:lineRule="auto"/>
        <w:jc w:val="center"/>
        <w:rPr>
          <w:rFonts w:hint="eastAsia" w:ascii="宋体" w:hAnsi="宋体" w:eastAsia="宋体" w:cs="宋体"/>
          <w:b/>
          <w:sz w:val="24"/>
          <w:szCs w:val="24"/>
          <w:highlight w:val="none"/>
          <w:lang w:val="en-US" w:eastAsia="zh-CN"/>
        </w:rPr>
      </w:pPr>
    </w:p>
    <w:p w14:paraId="34D0CC7F">
      <w:pPr>
        <w:spacing w:line="300" w:lineRule="auto"/>
        <w:jc w:val="both"/>
        <w:rPr>
          <w:rFonts w:hint="eastAsia" w:ascii="宋体" w:hAnsi="宋体" w:eastAsia="宋体" w:cs="宋体"/>
          <w:b/>
          <w:sz w:val="24"/>
          <w:szCs w:val="24"/>
          <w:highlight w:val="none"/>
          <w:lang w:val="en-US" w:eastAsia="zh-CN"/>
        </w:rPr>
      </w:pPr>
    </w:p>
    <w:p w14:paraId="0FD077D0">
      <w:pPr>
        <w:pStyle w:val="15"/>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highlight w:val="none"/>
          <w:lang w:val="en-US" w:eastAsia="zh-CN"/>
        </w:rPr>
      </w:pPr>
    </w:p>
    <w:p w14:paraId="24375807">
      <w:pPr>
        <w:pStyle w:val="16"/>
        <w:rPr>
          <w:rFonts w:hint="eastAsia" w:ascii="宋体" w:hAnsi="宋体" w:eastAsia="宋体" w:cs="宋体"/>
          <w:b/>
          <w:sz w:val="24"/>
          <w:szCs w:val="24"/>
          <w:highlight w:val="none"/>
          <w:lang w:val="en-US" w:eastAsia="zh-CN"/>
        </w:rPr>
      </w:pPr>
    </w:p>
    <w:p w14:paraId="1668246A">
      <w:pPr>
        <w:rPr>
          <w:rFonts w:hint="eastAsia" w:ascii="宋体" w:hAnsi="宋体" w:eastAsia="宋体" w:cs="宋体"/>
          <w:b/>
          <w:sz w:val="24"/>
          <w:szCs w:val="24"/>
          <w:highlight w:val="none"/>
          <w:lang w:val="en-US" w:eastAsia="zh-CN"/>
        </w:rPr>
      </w:pPr>
    </w:p>
    <w:p w14:paraId="3999BA7E">
      <w:pPr>
        <w:pStyle w:val="16"/>
        <w:rPr>
          <w:rFonts w:hint="eastAsia" w:ascii="宋体" w:hAnsi="宋体" w:eastAsia="宋体" w:cs="宋体"/>
          <w:b/>
          <w:sz w:val="24"/>
          <w:szCs w:val="24"/>
          <w:highlight w:val="none"/>
          <w:lang w:val="en-US" w:eastAsia="zh-CN"/>
        </w:rPr>
      </w:pPr>
    </w:p>
    <w:p w14:paraId="2156FAE5">
      <w:pPr>
        <w:rPr>
          <w:rFonts w:hint="eastAsia" w:ascii="宋体" w:hAnsi="宋体" w:eastAsia="宋体" w:cs="宋体"/>
          <w:b/>
          <w:sz w:val="24"/>
          <w:szCs w:val="24"/>
          <w:highlight w:val="none"/>
          <w:lang w:val="en-US" w:eastAsia="zh-CN"/>
        </w:rPr>
      </w:pPr>
    </w:p>
    <w:p w14:paraId="3C0E8522">
      <w:pPr>
        <w:pStyle w:val="16"/>
        <w:rPr>
          <w:rFonts w:hint="eastAsia" w:ascii="宋体" w:hAnsi="宋体" w:eastAsia="宋体" w:cs="宋体"/>
          <w:b/>
          <w:sz w:val="24"/>
          <w:szCs w:val="24"/>
          <w:highlight w:val="none"/>
          <w:lang w:val="en-US" w:eastAsia="zh-CN"/>
        </w:rPr>
      </w:pPr>
    </w:p>
    <w:p w14:paraId="1B4DE7FE">
      <w:pPr>
        <w:rPr>
          <w:rFonts w:hint="eastAsia" w:ascii="宋体" w:hAnsi="宋体" w:eastAsia="宋体" w:cs="宋体"/>
          <w:b/>
          <w:sz w:val="24"/>
          <w:szCs w:val="24"/>
          <w:highlight w:val="none"/>
          <w:lang w:val="en-US" w:eastAsia="zh-CN"/>
        </w:rPr>
      </w:pPr>
    </w:p>
    <w:p w14:paraId="3D699B02">
      <w:pPr>
        <w:pStyle w:val="16"/>
        <w:rPr>
          <w:rFonts w:hint="eastAsia" w:ascii="宋体" w:hAnsi="宋体" w:eastAsia="宋体" w:cs="宋体"/>
          <w:b/>
          <w:sz w:val="24"/>
          <w:szCs w:val="24"/>
          <w:highlight w:val="none"/>
          <w:lang w:val="en-US" w:eastAsia="zh-CN"/>
        </w:rPr>
      </w:pPr>
    </w:p>
    <w:p w14:paraId="5685DB07">
      <w:pPr>
        <w:rPr>
          <w:rFonts w:hint="eastAsia" w:ascii="宋体" w:hAnsi="宋体" w:eastAsia="宋体" w:cs="宋体"/>
          <w:b/>
          <w:sz w:val="24"/>
          <w:szCs w:val="24"/>
          <w:highlight w:val="none"/>
          <w:lang w:val="en-US" w:eastAsia="zh-CN"/>
        </w:rPr>
      </w:pPr>
    </w:p>
    <w:p w14:paraId="6691EF9D">
      <w:pPr>
        <w:pStyle w:val="16"/>
        <w:rPr>
          <w:rFonts w:hint="eastAsia" w:ascii="宋体" w:hAnsi="宋体" w:eastAsia="宋体" w:cs="宋体"/>
          <w:b/>
          <w:sz w:val="24"/>
          <w:szCs w:val="24"/>
          <w:highlight w:val="none"/>
          <w:lang w:val="en-US" w:eastAsia="zh-CN"/>
        </w:rPr>
      </w:pPr>
    </w:p>
    <w:p w14:paraId="4BA4AA0B">
      <w:pPr>
        <w:pStyle w:val="16"/>
        <w:jc w:val="center"/>
        <w:rPr>
          <w:rFonts w:hint="default"/>
          <w:b/>
          <w:bCs/>
          <w:highlight w:val="none"/>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highlight w:val="none"/>
          <w:lang w:val="en-US" w:eastAsia="zh-CN"/>
        </w:rPr>
        <w:t>信用中国查询结果</w:t>
      </w: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7"/>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7"/>
              <w:spacing w:line="360" w:lineRule="auto"/>
              <w:ind w:right="150"/>
              <w:jc w:val="center"/>
              <w:rPr>
                <w:rFonts w:hint="eastAsia" w:ascii="宋体" w:hAnsi="宋体" w:eastAsia="宋体" w:cs="宋体"/>
                <w:sz w:val="24"/>
                <w:szCs w:val="24"/>
                <w:highlight w:val="none"/>
                <w:lang w:val="en-US" w:eastAsia="zh-CN"/>
              </w:rPr>
            </w:pPr>
          </w:p>
          <w:p w14:paraId="1FCF5953">
            <w:pPr>
              <w:pStyle w:val="7"/>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7"/>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7"/>
              <w:spacing w:line="240" w:lineRule="atLeast"/>
              <w:ind w:left="150" w:right="150"/>
              <w:rPr>
                <w:rFonts w:hint="eastAsia" w:ascii="宋体" w:hAnsi="宋体" w:eastAsia="宋体" w:cs="宋体"/>
                <w:sz w:val="24"/>
                <w:szCs w:val="24"/>
                <w:highlight w:val="none"/>
              </w:rPr>
            </w:pPr>
          </w:p>
          <w:p w14:paraId="59D74892">
            <w:pPr>
              <w:pStyle w:val="7"/>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7"/>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7"/>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7"/>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7"/>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7"/>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7"/>
              <w:spacing w:line="240" w:lineRule="atLeast"/>
              <w:ind w:left="150" w:right="150"/>
              <w:jc w:val="center"/>
              <w:rPr>
                <w:rFonts w:hint="eastAsia" w:ascii="宋体" w:hAnsi="宋体" w:eastAsia="宋体" w:cs="宋体"/>
                <w:sz w:val="24"/>
                <w:szCs w:val="24"/>
                <w:highlight w:val="none"/>
              </w:rPr>
            </w:pPr>
          </w:p>
        </w:tc>
      </w:tr>
    </w:tbl>
    <w:p w14:paraId="1773F091">
      <w:pPr>
        <w:pStyle w:val="7"/>
        <w:tabs>
          <w:tab w:val="left" w:pos="5580"/>
        </w:tabs>
        <w:spacing w:before="120" w:line="360" w:lineRule="auto"/>
        <w:rPr>
          <w:rFonts w:hint="eastAsia" w:ascii="宋体" w:hAnsi="宋体" w:eastAsia="宋体" w:cs="宋体"/>
          <w:bCs/>
          <w:kern w:val="0"/>
          <w:sz w:val="24"/>
          <w:szCs w:val="24"/>
          <w:highlight w:val="none"/>
        </w:rPr>
      </w:pPr>
    </w:p>
    <w:p w14:paraId="682B9FD0">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7"/>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7"/>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08C01A17">
      <w:pPr>
        <w:pStyle w:val="5"/>
        <w:rPr>
          <w:rFonts w:hint="eastAsia"/>
          <w:highlight w:val="none"/>
          <w:lang w:val="en-US" w:eastAsia="zh-CN"/>
        </w:rPr>
        <w:sectPr>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技术规格偏离表</w:t>
      </w:r>
      <w:r>
        <w:rPr>
          <w:rFonts w:hint="eastAsia" w:ascii="宋体" w:hAnsi="宋体" w:eastAsia="宋体" w:cs="宋体"/>
          <w:b/>
          <w:sz w:val="24"/>
          <w:szCs w:val="24"/>
          <w:highlight w:val="none"/>
          <w:lang w:val="en-US" w:eastAsia="zh-CN"/>
        </w:rPr>
        <w:t xml:space="preserve"> </w:t>
      </w:r>
    </w:p>
    <w:p w14:paraId="1F375F62">
      <w:pPr>
        <w:pStyle w:val="16"/>
        <w:numPr>
          <w:ilvl w:val="0"/>
          <w:numId w:val="0"/>
        </w:numPr>
        <w:jc w:val="center"/>
        <w:rPr>
          <w:rFonts w:hint="eastAsia" w:ascii="宋体" w:hAnsi="宋体" w:eastAsia="宋体" w:cs="宋体"/>
          <w:b/>
          <w:sz w:val="24"/>
          <w:szCs w:val="24"/>
          <w:highlight w:val="none"/>
        </w:rPr>
      </w:pPr>
    </w:p>
    <w:p w14:paraId="4C68BADA">
      <w:pPr>
        <w:pStyle w:val="16"/>
        <w:numPr>
          <w:ilvl w:val="0"/>
          <w:numId w:val="0"/>
        </w:numPr>
        <w:jc w:val="center"/>
        <w:rPr>
          <w:rFonts w:hint="eastAsia"/>
          <w:highlight w:val="none"/>
          <w:lang w:val="en-US" w:eastAsia="zh-CN"/>
        </w:rPr>
      </w:pPr>
      <w:r>
        <w:rPr>
          <w:rFonts w:hint="eastAsia" w:ascii="宋体" w:hAnsi="宋体" w:eastAsia="宋体" w:cs="宋体"/>
          <w:b/>
          <w:sz w:val="24"/>
          <w:szCs w:val="24"/>
          <w:highlight w:val="none"/>
        </w:rPr>
        <w:t>技术规格偏离表</w:t>
      </w:r>
    </w:p>
    <w:p w14:paraId="12A00648">
      <w:pPr>
        <w:spacing w:line="300" w:lineRule="auto"/>
        <w:jc w:val="center"/>
        <w:rPr>
          <w:rFonts w:hint="eastAsia" w:ascii="宋体" w:hAnsi="宋体" w:eastAsia="宋体" w:cs="宋体"/>
          <w:b/>
          <w:sz w:val="24"/>
          <w:szCs w:val="24"/>
          <w:highlight w:val="none"/>
        </w:rPr>
      </w:pPr>
    </w:p>
    <w:p w14:paraId="3899B7A1">
      <w:pPr>
        <w:spacing w:line="30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p>
    <w:tbl>
      <w:tblPr>
        <w:tblStyle w:val="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62" w:type="dxa"/>
            <w:noWrap w:val="0"/>
            <w:vAlign w:val="center"/>
          </w:tcPr>
          <w:p w14:paraId="5C3FA164">
            <w:pPr>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800" w:type="dxa"/>
            <w:noWrap w:val="0"/>
            <w:vAlign w:val="center"/>
          </w:tcPr>
          <w:p w14:paraId="2358D60A">
            <w:pPr>
              <w:spacing w:line="30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招标规格</w:t>
            </w:r>
            <w:r>
              <w:rPr>
                <w:rFonts w:hint="eastAsia" w:ascii="宋体" w:hAnsi="宋体" w:cs="宋体"/>
                <w:sz w:val="24"/>
                <w:szCs w:val="24"/>
                <w:highlight w:val="none"/>
                <w:lang w:val="en-US" w:eastAsia="zh-CN"/>
              </w:rPr>
              <w:t>及质量要求</w:t>
            </w:r>
          </w:p>
        </w:tc>
        <w:tc>
          <w:tcPr>
            <w:tcW w:w="1661" w:type="dxa"/>
            <w:noWrap w:val="0"/>
            <w:vAlign w:val="center"/>
          </w:tcPr>
          <w:p w14:paraId="21FD461C">
            <w:pPr>
              <w:spacing w:line="30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投标规格</w:t>
            </w:r>
            <w:r>
              <w:rPr>
                <w:rFonts w:hint="eastAsia" w:ascii="宋体" w:hAnsi="宋体" w:cs="宋体"/>
                <w:sz w:val="24"/>
                <w:szCs w:val="24"/>
                <w:highlight w:val="none"/>
                <w:lang w:val="en-US" w:eastAsia="zh-CN"/>
              </w:rPr>
              <w:t>及质量</w:t>
            </w:r>
          </w:p>
        </w:tc>
        <w:tc>
          <w:tcPr>
            <w:tcW w:w="2744" w:type="dxa"/>
            <w:noWrap w:val="0"/>
            <w:vAlign w:val="center"/>
          </w:tcPr>
          <w:p w14:paraId="674C92F5">
            <w:pPr>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highlight w:val="none"/>
              </w:rPr>
            </w:pPr>
          </w:p>
        </w:tc>
        <w:tc>
          <w:tcPr>
            <w:tcW w:w="1662" w:type="dxa"/>
            <w:noWrap w:val="0"/>
            <w:vAlign w:val="top"/>
          </w:tcPr>
          <w:p w14:paraId="21DB6566">
            <w:pPr>
              <w:spacing w:line="300" w:lineRule="auto"/>
              <w:rPr>
                <w:rFonts w:hint="eastAsia" w:ascii="宋体" w:hAnsi="宋体" w:eastAsia="宋体" w:cs="宋体"/>
                <w:sz w:val="24"/>
                <w:szCs w:val="24"/>
                <w:highlight w:val="none"/>
              </w:rPr>
            </w:pPr>
          </w:p>
        </w:tc>
        <w:tc>
          <w:tcPr>
            <w:tcW w:w="1800" w:type="dxa"/>
            <w:noWrap w:val="0"/>
            <w:vAlign w:val="top"/>
          </w:tcPr>
          <w:p w14:paraId="65DF1F9A">
            <w:pPr>
              <w:spacing w:line="300" w:lineRule="auto"/>
              <w:rPr>
                <w:rFonts w:hint="eastAsia" w:ascii="宋体" w:hAnsi="宋体" w:eastAsia="宋体" w:cs="宋体"/>
                <w:sz w:val="24"/>
                <w:szCs w:val="24"/>
                <w:highlight w:val="none"/>
              </w:rPr>
            </w:pPr>
          </w:p>
        </w:tc>
        <w:tc>
          <w:tcPr>
            <w:tcW w:w="1661" w:type="dxa"/>
            <w:noWrap w:val="0"/>
            <w:vAlign w:val="top"/>
          </w:tcPr>
          <w:p w14:paraId="3514632F">
            <w:pPr>
              <w:spacing w:line="300" w:lineRule="auto"/>
              <w:rPr>
                <w:rFonts w:hint="eastAsia" w:ascii="宋体" w:hAnsi="宋体" w:eastAsia="宋体" w:cs="宋体"/>
                <w:sz w:val="24"/>
                <w:szCs w:val="24"/>
                <w:highlight w:val="none"/>
              </w:rPr>
            </w:pPr>
          </w:p>
        </w:tc>
        <w:tc>
          <w:tcPr>
            <w:tcW w:w="2744" w:type="dxa"/>
            <w:noWrap w:val="0"/>
            <w:vAlign w:val="top"/>
          </w:tcPr>
          <w:p w14:paraId="7DCCE352">
            <w:pPr>
              <w:spacing w:line="300" w:lineRule="auto"/>
              <w:rPr>
                <w:rFonts w:hint="eastAsia" w:ascii="宋体" w:hAnsi="宋体" w:eastAsia="宋体" w:cs="宋体"/>
                <w:sz w:val="24"/>
                <w:szCs w:val="24"/>
                <w:highlight w:val="none"/>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highlight w:val="none"/>
              </w:rPr>
            </w:pPr>
          </w:p>
        </w:tc>
        <w:tc>
          <w:tcPr>
            <w:tcW w:w="1662" w:type="dxa"/>
            <w:noWrap w:val="0"/>
            <w:vAlign w:val="top"/>
          </w:tcPr>
          <w:p w14:paraId="2AE89B91">
            <w:pPr>
              <w:spacing w:line="300" w:lineRule="auto"/>
              <w:rPr>
                <w:rFonts w:hint="eastAsia" w:ascii="宋体" w:hAnsi="宋体" w:eastAsia="宋体" w:cs="宋体"/>
                <w:sz w:val="24"/>
                <w:szCs w:val="24"/>
                <w:highlight w:val="none"/>
              </w:rPr>
            </w:pPr>
          </w:p>
        </w:tc>
        <w:tc>
          <w:tcPr>
            <w:tcW w:w="1800" w:type="dxa"/>
            <w:noWrap w:val="0"/>
            <w:vAlign w:val="top"/>
          </w:tcPr>
          <w:p w14:paraId="2E436193">
            <w:pPr>
              <w:spacing w:line="300" w:lineRule="auto"/>
              <w:rPr>
                <w:rFonts w:hint="eastAsia" w:ascii="宋体" w:hAnsi="宋体" w:eastAsia="宋体" w:cs="宋体"/>
                <w:sz w:val="24"/>
                <w:szCs w:val="24"/>
                <w:highlight w:val="none"/>
              </w:rPr>
            </w:pPr>
          </w:p>
        </w:tc>
        <w:tc>
          <w:tcPr>
            <w:tcW w:w="1661" w:type="dxa"/>
            <w:noWrap w:val="0"/>
            <w:vAlign w:val="top"/>
          </w:tcPr>
          <w:p w14:paraId="0DBF8EFA">
            <w:pPr>
              <w:spacing w:line="300" w:lineRule="auto"/>
              <w:rPr>
                <w:rFonts w:hint="eastAsia" w:ascii="宋体" w:hAnsi="宋体" w:eastAsia="宋体" w:cs="宋体"/>
                <w:sz w:val="24"/>
                <w:szCs w:val="24"/>
                <w:highlight w:val="none"/>
              </w:rPr>
            </w:pPr>
          </w:p>
        </w:tc>
        <w:tc>
          <w:tcPr>
            <w:tcW w:w="2744" w:type="dxa"/>
            <w:noWrap w:val="0"/>
            <w:vAlign w:val="top"/>
          </w:tcPr>
          <w:p w14:paraId="1D83F4E7">
            <w:pPr>
              <w:spacing w:line="300" w:lineRule="auto"/>
              <w:rPr>
                <w:rFonts w:hint="eastAsia" w:ascii="宋体" w:hAnsi="宋体" w:eastAsia="宋体" w:cs="宋体"/>
                <w:sz w:val="24"/>
                <w:szCs w:val="24"/>
                <w:highlight w:val="none"/>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highlight w:val="none"/>
              </w:rPr>
            </w:pPr>
          </w:p>
        </w:tc>
        <w:tc>
          <w:tcPr>
            <w:tcW w:w="1662" w:type="dxa"/>
            <w:noWrap w:val="0"/>
            <w:vAlign w:val="top"/>
          </w:tcPr>
          <w:p w14:paraId="16F0A560">
            <w:pPr>
              <w:spacing w:line="300" w:lineRule="auto"/>
              <w:rPr>
                <w:rFonts w:hint="eastAsia" w:ascii="宋体" w:hAnsi="宋体" w:eastAsia="宋体" w:cs="宋体"/>
                <w:sz w:val="24"/>
                <w:szCs w:val="24"/>
                <w:highlight w:val="none"/>
              </w:rPr>
            </w:pPr>
          </w:p>
        </w:tc>
        <w:tc>
          <w:tcPr>
            <w:tcW w:w="1800" w:type="dxa"/>
            <w:noWrap w:val="0"/>
            <w:vAlign w:val="top"/>
          </w:tcPr>
          <w:p w14:paraId="0FCE03CE">
            <w:pPr>
              <w:spacing w:line="300" w:lineRule="auto"/>
              <w:rPr>
                <w:rFonts w:hint="eastAsia" w:ascii="宋体" w:hAnsi="宋体" w:eastAsia="宋体" w:cs="宋体"/>
                <w:sz w:val="24"/>
                <w:szCs w:val="24"/>
                <w:highlight w:val="none"/>
              </w:rPr>
            </w:pPr>
          </w:p>
        </w:tc>
        <w:tc>
          <w:tcPr>
            <w:tcW w:w="1661" w:type="dxa"/>
            <w:noWrap w:val="0"/>
            <w:vAlign w:val="top"/>
          </w:tcPr>
          <w:p w14:paraId="2574660D">
            <w:pPr>
              <w:spacing w:line="300" w:lineRule="auto"/>
              <w:rPr>
                <w:rFonts w:hint="eastAsia" w:ascii="宋体" w:hAnsi="宋体" w:eastAsia="宋体" w:cs="宋体"/>
                <w:sz w:val="24"/>
                <w:szCs w:val="24"/>
                <w:highlight w:val="none"/>
              </w:rPr>
            </w:pPr>
          </w:p>
        </w:tc>
        <w:tc>
          <w:tcPr>
            <w:tcW w:w="2744" w:type="dxa"/>
            <w:noWrap w:val="0"/>
            <w:vAlign w:val="top"/>
          </w:tcPr>
          <w:p w14:paraId="5D56FD85">
            <w:pPr>
              <w:spacing w:line="300" w:lineRule="auto"/>
              <w:rPr>
                <w:rFonts w:hint="eastAsia" w:ascii="宋体" w:hAnsi="宋体" w:eastAsia="宋体" w:cs="宋体"/>
                <w:sz w:val="24"/>
                <w:szCs w:val="24"/>
                <w:highlight w:val="none"/>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highlight w:val="none"/>
              </w:rPr>
            </w:pPr>
          </w:p>
        </w:tc>
        <w:tc>
          <w:tcPr>
            <w:tcW w:w="1662" w:type="dxa"/>
            <w:noWrap w:val="0"/>
            <w:vAlign w:val="top"/>
          </w:tcPr>
          <w:p w14:paraId="0B5CDA4D">
            <w:pPr>
              <w:spacing w:line="300" w:lineRule="auto"/>
              <w:rPr>
                <w:rFonts w:hint="eastAsia" w:ascii="宋体" w:hAnsi="宋体" w:eastAsia="宋体" w:cs="宋体"/>
                <w:sz w:val="24"/>
                <w:szCs w:val="24"/>
                <w:highlight w:val="none"/>
              </w:rPr>
            </w:pPr>
          </w:p>
        </w:tc>
        <w:tc>
          <w:tcPr>
            <w:tcW w:w="1800" w:type="dxa"/>
            <w:noWrap w:val="0"/>
            <w:vAlign w:val="top"/>
          </w:tcPr>
          <w:p w14:paraId="6C390182">
            <w:pPr>
              <w:spacing w:line="300" w:lineRule="auto"/>
              <w:rPr>
                <w:rFonts w:hint="eastAsia" w:ascii="宋体" w:hAnsi="宋体" w:eastAsia="宋体" w:cs="宋体"/>
                <w:sz w:val="24"/>
                <w:szCs w:val="24"/>
                <w:highlight w:val="none"/>
              </w:rPr>
            </w:pPr>
          </w:p>
        </w:tc>
        <w:tc>
          <w:tcPr>
            <w:tcW w:w="1661" w:type="dxa"/>
            <w:noWrap w:val="0"/>
            <w:vAlign w:val="top"/>
          </w:tcPr>
          <w:p w14:paraId="7819EE2B">
            <w:pPr>
              <w:spacing w:line="300" w:lineRule="auto"/>
              <w:rPr>
                <w:rFonts w:hint="eastAsia" w:ascii="宋体" w:hAnsi="宋体" w:eastAsia="宋体" w:cs="宋体"/>
                <w:sz w:val="24"/>
                <w:szCs w:val="24"/>
                <w:highlight w:val="none"/>
              </w:rPr>
            </w:pPr>
          </w:p>
        </w:tc>
        <w:tc>
          <w:tcPr>
            <w:tcW w:w="2744" w:type="dxa"/>
            <w:noWrap w:val="0"/>
            <w:vAlign w:val="top"/>
          </w:tcPr>
          <w:p w14:paraId="716A3B7C">
            <w:pPr>
              <w:spacing w:line="300" w:lineRule="auto"/>
              <w:rPr>
                <w:rFonts w:hint="eastAsia" w:ascii="宋体" w:hAnsi="宋体" w:eastAsia="宋体" w:cs="宋体"/>
                <w:sz w:val="24"/>
                <w:szCs w:val="24"/>
                <w:highlight w:val="none"/>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highlight w:val="none"/>
              </w:rPr>
            </w:pPr>
          </w:p>
        </w:tc>
        <w:tc>
          <w:tcPr>
            <w:tcW w:w="1662" w:type="dxa"/>
            <w:noWrap w:val="0"/>
            <w:vAlign w:val="top"/>
          </w:tcPr>
          <w:p w14:paraId="4863758B">
            <w:pPr>
              <w:spacing w:line="300" w:lineRule="auto"/>
              <w:rPr>
                <w:rFonts w:hint="eastAsia" w:ascii="宋体" w:hAnsi="宋体" w:eastAsia="宋体" w:cs="宋体"/>
                <w:sz w:val="24"/>
                <w:szCs w:val="24"/>
                <w:highlight w:val="none"/>
              </w:rPr>
            </w:pPr>
          </w:p>
        </w:tc>
        <w:tc>
          <w:tcPr>
            <w:tcW w:w="1800" w:type="dxa"/>
            <w:noWrap w:val="0"/>
            <w:vAlign w:val="top"/>
          </w:tcPr>
          <w:p w14:paraId="2B3F12B5">
            <w:pPr>
              <w:spacing w:line="300" w:lineRule="auto"/>
              <w:rPr>
                <w:rFonts w:hint="eastAsia" w:ascii="宋体" w:hAnsi="宋体" w:eastAsia="宋体" w:cs="宋体"/>
                <w:sz w:val="24"/>
                <w:szCs w:val="24"/>
                <w:highlight w:val="none"/>
              </w:rPr>
            </w:pPr>
          </w:p>
        </w:tc>
        <w:tc>
          <w:tcPr>
            <w:tcW w:w="1661" w:type="dxa"/>
            <w:noWrap w:val="0"/>
            <w:vAlign w:val="top"/>
          </w:tcPr>
          <w:p w14:paraId="315F4A60">
            <w:pPr>
              <w:spacing w:line="300" w:lineRule="auto"/>
              <w:rPr>
                <w:rFonts w:hint="eastAsia" w:ascii="宋体" w:hAnsi="宋体" w:eastAsia="宋体" w:cs="宋体"/>
                <w:sz w:val="24"/>
                <w:szCs w:val="24"/>
                <w:highlight w:val="none"/>
              </w:rPr>
            </w:pPr>
          </w:p>
        </w:tc>
        <w:tc>
          <w:tcPr>
            <w:tcW w:w="2744" w:type="dxa"/>
            <w:noWrap w:val="0"/>
            <w:vAlign w:val="top"/>
          </w:tcPr>
          <w:p w14:paraId="35E71DEA">
            <w:pPr>
              <w:spacing w:line="300" w:lineRule="auto"/>
              <w:rPr>
                <w:rFonts w:hint="eastAsia" w:ascii="宋体" w:hAnsi="宋体" w:eastAsia="宋体" w:cs="宋体"/>
                <w:sz w:val="24"/>
                <w:szCs w:val="24"/>
                <w:highlight w:val="none"/>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highlight w:val="none"/>
              </w:rPr>
            </w:pPr>
          </w:p>
        </w:tc>
        <w:tc>
          <w:tcPr>
            <w:tcW w:w="1662" w:type="dxa"/>
            <w:noWrap w:val="0"/>
            <w:vAlign w:val="top"/>
          </w:tcPr>
          <w:p w14:paraId="3574C790">
            <w:pPr>
              <w:spacing w:line="300" w:lineRule="auto"/>
              <w:rPr>
                <w:rFonts w:hint="eastAsia" w:ascii="宋体" w:hAnsi="宋体" w:eastAsia="宋体" w:cs="宋体"/>
                <w:sz w:val="24"/>
                <w:szCs w:val="24"/>
                <w:highlight w:val="none"/>
              </w:rPr>
            </w:pPr>
          </w:p>
        </w:tc>
        <w:tc>
          <w:tcPr>
            <w:tcW w:w="1800" w:type="dxa"/>
            <w:noWrap w:val="0"/>
            <w:vAlign w:val="top"/>
          </w:tcPr>
          <w:p w14:paraId="162E5EE3">
            <w:pPr>
              <w:spacing w:line="300" w:lineRule="auto"/>
              <w:rPr>
                <w:rFonts w:hint="eastAsia" w:ascii="宋体" w:hAnsi="宋体" w:eastAsia="宋体" w:cs="宋体"/>
                <w:sz w:val="24"/>
                <w:szCs w:val="24"/>
                <w:highlight w:val="none"/>
              </w:rPr>
            </w:pPr>
          </w:p>
        </w:tc>
        <w:tc>
          <w:tcPr>
            <w:tcW w:w="1661" w:type="dxa"/>
            <w:noWrap w:val="0"/>
            <w:vAlign w:val="top"/>
          </w:tcPr>
          <w:p w14:paraId="2EA8E697">
            <w:pPr>
              <w:spacing w:line="300" w:lineRule="auto"/>
              <w:rPr>
                <w:rFonts w:hint="eastAsia" w:ascii="宋体" w:hAnsi="宋体" w:eastAsia="宋体" w:cs="宋体"/>
                <w:sz w:val="24"/>
                <w:szCs w:val="24"/>
                <w:highlight w:val="none"/>
              </w:rPr>
            </w:pPr>
          </w:p>
        </w:tc>
        <w:tc>
          <w:tcPr>
            <w:tcW w:w="2744" w:type="dxa"/>
            <w:noWrap w:val="0"/>
            <w:vAlign w:val="top"/>
          </w:tcPr>
          <w:p w14:paraId="70080191">
            <w:pPr>
              <w:spacing w:line="300" w:lineRule="auto"/>
              <w:rPr>
                <w:rFonts w:hint="eastAsia" w:ascii="宋体" w:hAnsi="宋体" w:eastAsia="宋体" w:cs="宋体"/>
                <w:sz w:val="24"/>
                <w:szCs w:val="24"/>
                <w:highlight w:val="none"/>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highlight w:val="none"/>
              </w:rPr>
            </w:pPr>
          </w:p>
        </w:tc>
        <w:tc>
          <w:tcPr>
            <w:tcW w:w="1662" w:type="dxa"/>
            <w:noWrap w:val="0"/>
            <w:vAlign w:val="top"/>
          </w:tcPr>
          <w:p w14:paraId="254C20CD">
            <w:pPr>
              <w:spacing w:line="300" w:lineRule="auto"/>
              <w:rPr>
                <w:rFonts w:hint="eastAsia" w:ascii="宋体" w:hAnsi="宋体" w:eastAsia="宋体" w:cs="宋体"/>
                <w:sz w:val="24"/>
                <w:szCs w:val="24"/>
                <w:highlight w:val="none"/>
              </w:rPr>
            </w:pPr>
          </w:p>
        </w:tc>
        <w:tc>
          <w:tcPr>
            <w:tcW w:w="1800" w:type="dxa"/>
            <w:noWrap w:val="0"/>
            <w:vAlign w:val="top"/>
          </w:tcPr>
          <w:p w14:paraId="1D1AE31B">
            <w:pPr>
              <w:spacing w:line="300" w:lineRule="auto"/>
              <w:rPr>
                <w:rFonts w:hint="eastAsia" w:ascii="宋体" w:hAnsi="宋体" w:eastAsia="宋体" w:cs="宋体"/>
                <w:sz w:val="24"/>
                <w:szCs w:val="24"/>
                <w:highlight w:val="none"/>
              </w:rPr>
            </w:pPr>
          </w:p>
        </w:tc>
        <w:tc>
          <w:tcPr>
            <w:tcW w:w="1661" w:type="dxa"/>
            <w:noWrap w:val="0"/>
            <w:vAlign w:val="top"/>
          </w:tcPr>
          <w:p w14:paraId="3E50D807">
            <w:pPr>
              <w:spacing w:line="300" w:lineRule="auto"/>
              <w:rPr>
                <w:rFonts w:hint="eastAsia" w:ascii="宋体" w:hAnsi="宋体" w:eastAsia="宋体" w:cs="宋体"/>
                <w:sz w:val="24"/>
                <w:szCs w:val="24"/>
                <w:highlight w:val="none"/>
              </w:rPr>
            </w:pPr>
          </w:p>
        </w:tc>
        <w:tc>
          <w:tcPr>
            <w:tcW w:w="2744" w:type="dxa"/>
            <w:noWrap w:val="0"/>
            <w:vAlign w:val="top"/>
          </w:tcPr>
          <w:p w14:paraId="65A0166D">
            <w:pPr>
              <w:spacing w:line="300" w:lineRule="auto"/>
              <w:rPr>
                <w:rFonts w:hint="eastAsia" w:ascii="宋体" w:hAnsi="宋体" w:eastAsia="宋体" w:cs="宋体"/>
                <w:sz w:val="24"/>
                <w:szCs w:val="24"/>
                <w:highlight w:val="none"/>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highlight w:val="none"/>
              </w:rPr>
            </w:pPr>
          </w:p>
        </w:tc>
        <w:tc>
          <w:tcPr>
            <w:tcW w:w="1662" w:type="dxa"/>
            <w:noWrap w:val="0"/>
            <w:vAlign w:val="top"/>
          </w:tcPr>
          <w:p w14:paraId="75E90E00">
            <w:pPr>
              <w:spacing w:line="300" w:lineRule="auto"/>
              <w:rPr>
                <w:rFonts w:hint="eastAsia" w:ascii="宋体" w:hAnsi="宋体" w:eastAsia="宋体" w:cs="宋体"/>
                <w:sz w:val="24"/>
                <w:szCs w:val="24"/>
                <w:highlight w:val="none"/>
              </w:rPr>
            </w:pPr>
          </w:p>
        </w:tc>
        <w:tc>
          <w:tcPr>
            <w:tcW w:w="1800" w:type="dxa"/>
            <w:noWrap w:val="0"/>
            <w:vAlign w:val="top"/>
          </w:tcPr>
          <w:p w14:paraId="493D0AD8">
            <w:pPr>
              <w:spacing w:line="300" w:lineRule="auto"/>
              <w:rPr>
                <w:rFonts w:hint="eastAsia" w:ascii="宋体" w:hAnsi="宋体" w:eastAsia="宋体" w:cs="宋体"/>
                <w:sz w:val="24"/>
                <w:szCs w:val="24"/>
                <w:highlight w:val="none"/>
              </w:rPr>
            </w:pPr>
          </w:p>
        </w:tc>
        <w:tc>
          <w:tcPr>
            <w:tcW w:w="1661" w:type="dxa"/>
            <w:noWrap w:val="0"/>
            <w:vAlign w:val="top"/>
          </w:tcPr>
          <w:p w14:paraId="7DD0CB4B">
            <w:pPr>
              <w:spacing w:line="300" w:lineRule="auto"/>
              <w:rPr>
                <w:rFonts w:hint="eastAsia" w:ascii="宋体" w:hAnsi="宋体" w:eastAsia="宋体" w:cs="宋体"/>
                <w:sz w:val="24"/>
                <w:szCs w:val="24"/>
                <w:highlight w:val="none"/>
              </w:rPr>
            </w:pPr>
          </w:p>
        </w:tc>
        <w:tc>
          <w:tcPr>
            <w:tcW w:w="2744" w:type="dxa"/>
            <w:noWrap w:val="0"/>
            <w:vAlign w:val="top"/>
          </w:tcPr>
          <w:p w14:paraId="69707354">
            <w:pPr>
              <w:spacing w:line="300" w:lineRule="auto"/>
              <w:rPr>
                <w:rFonts w:hint="eastAsia" w:ascii="宋体" w:hAnsi="宋体" w:eastAsia="宋体" w:cs="宋体"/>
                <w:sz w:val="24"/>
                <w:szCs w:val="24"/>
                <w:highlight w:val="none"/>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highlight w:val="none"/>
              </w:rPr>
            </w:pPr>
          </w:p>
        </w:tc>
        <w:tc>
          <w:tcPr>
            <w:tcW w:w="1662" w:type="dxa"/>
            <w:noWrap w:val="0"/>
            <w:vAlign w:val="top"/>
          </w:tcPr>
          <w:p w14:paraId="158EC227">
            <w:pPr>
              <w:spacing w:line="300" w:lineRule="auto"/>
              <w:rPr>
                <w:rFonts w:hint="eastAsia" w:ascii="宋体" w:hAnsi="宋体" w:eastAsia="宋体" w:cs="宋体"/>
                <w:sz w:val="24"/>
                <w:szCs w:val="24"/>
                <w:highlight w:val="none"/>
              </w:rPr>
            </w:pPr>
          </w:p>
        </w:tc>
        <w:tc>
          <w:tcPr>
            <w:tcW w:w="1800" w:type="dxa"/>
            <w:noWrap w:val="0"/>
            <w:vAlign w:val="top"/>
          </w:tcPr>
          <w:p w14:paraId="3DA6261B">
            <w:pPr>
              <w:spacing w:line="300" w:lineRule="auto"/>
              <w:rPr>
                <w:rFonts w:hint="eastAsia" w:ascii="宋体" w:hAnsi="宋体" w:eastAsia="宋体" w:cs="宋体"/>
                <w:sz w:val="24"/>
                <w:szCs w:val="24"/>
                <w:highlight w:val="none"/>
              </w:rPr>
            </w:pPr>
          </w:p>
        </w:tc>
        <w:tc>
          <w:tcPr>
            <w:tcW w:w="1661" w:type="dxa"/>
            <w:noWrap w:val="0"/>
            <w:vAlign w:val="top"/>
          </w:tcPr>
          <w:p w14:paraId="3D7F0C82">
            <w:pPr>
              <w:spacing w:line="300" w:lineRule="auto"/>
              <w:rPr>
                <w:rFonts w:hint="eastAsia" w:ascii="宋体" w:hAnsi="宋体" w:eastAsia="宋体" w:cs="宋体"/>
                <w:sz w:val="24"/>
                <w:szCs w:val="24"/>
                <w:highlight w:val="none"/>
              </w:rPr>
            </w:pPr>
          </w:p>
        </w:tc>
        <w:tc>
          <w:tcPr>
            <w:tcW w:w="2744" w:type="dxa"/>
            <w:noWrap w:val="0"/>
            <w:vAlign w:val="top"/>
          </w:tcPr>
          <w:p w14:paraId="7FC116C3">
            <w:pPr>
              <w:spacing w:line="300" w:lineRule="auto"/>
              <w:rPr>
                <w:rFonts w:hint="eastAsia" w:ascii="宋体" w:hAnsi="宋体" w:eastAsia="宋体" w:cs="宋体"/>
                <w:sz w:val="24"/>
                <w:szCs w:val="24"/>
                <w:highlight w:val="none"/>
              </w:rPr>
            </w:pPr>
          </w:p>
        </w:tc>
      </w:tr>
    </w:tbl>
    <w:p w14:paraId="4BC35D0A">
      <w:pPr>
        <w:spacing w:line="300" w:lineRule="auto"/>
        <w:rPr>
          <w:rFonts w:hint="eastAsia" w:ascii="宋体" w:hAnsi="宋体" w:eastAsia="宋体" w:cs="宋体"/>
          <w:sz w:val="24"/>
          <w:szCs w:val="24"/>
          <w:highlight w:val="none"/>
        </w:rPr>
      </w:pPr>
    </w:p>
    <w:p w14:paraId="23B4A35B">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281973D1">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431FFC6">
      <w:pPr>
        <w:spacing w:line="300" w:lineRule="auto"/>
        <w:ind w:firstLine="480"/>
        <w:rPr>
          <w:rFonts w:hint="eastAsia" w:ascii="宋体" w:hAnsi="宋体" w:eastAsia="宋体" w:cs="宋体"/>
          <w:sz w:val="24"/>
          <w:szCs w:val="24"/>
          <w:highlight w:val="none"/>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highlight w:val="none"/>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21"/>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highlight w:val="none"/>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highlight w:val="none"/>
          <w:lang w:val="en-US" w:eastAsia="zh-CN"/>
        </w:rPr>
        <w:t>企业实力</w:t>
      </w:r>
      <w:r>
        <w:rPr>
          <w:rFonts w:hint="eastAsia" w:ascii="宋体" w:hAnsi="宋体" w:eastAsia="宋体" w:cs="宋体"/>
          <w:sz w:val="24"/>
          <w:szCs w:val="24"/>
          <w:highlight w:val="none"/>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highlight w:val="none"/>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5"/>
        <w:rPr>
          <w:rFonts w:hint="eastAsia" w:ascii="宋体" w:hAnsi="宋体" w:eastAsia="宋体" w:cs="宋体"/>
          <w:sz w:val="24"/>
          <w:szCs w:val="24"/>
          <w:highlight w:val="none"/>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p w14:paraId="22C7C58A">
      <w:pPr>
        <w:pStyle w:val="21"/>
        <w:ind w:left="0" w:leftChars="0" w:firstLine="0" w:firstLineChars="0"/>
        <w:rPr>
          <w:rFonts w:hint="eastAsia"/>
          <w:highlight w:val="none"/>
        </w:rPr>
      </w:pPr>
    </w:p>
    <w:p w14:paraId="67BD50BE">
      <w:pPr>
        <w:rPr>
          <w:rFonts w:hint="eastAsia"/>
          <w:highlight w:val="none"/>
        </w:rPr>
      </w:pPr>
    </w:p>
    <w:p w14:paraId="17CC91B4">
      <w:pPr>
        <w:rPr>
          <w:rFonts w:hint="eastAsia"/>
          <w:highlight w:val="none"/>
        </w:rPr>
      </w:pPr>
    </w:p>
    <w:p w14:paraId="218E9E13">
      <w:pPr>
        <w:rPr>
          <w:rFonts w:hint="eastAsia"/>
          <w:highlight w:val="none"/>
        </w:rPr>
      </w:pPr>
    </w:p>
    <w:p w14:paraId="2906BBD7">
      <w:pPr>
        <w:rPr>
          <w:rFonts w:hint="eastAsia"/>
          <w:highlight w:val="none"/>
        </w:rPr>
      </w:pPr>
    </w:p>
    <w:p w14:paraId="29613E71">
      <w:pPr>
        <w:rPr>
          <w:rFonts w:hint="eastAsia"/>
          <w:highlight w:val="none"/>
        </w:rPr>
      </w:pPr>
    </w:p>
    <w:p w14:paraId="61584BBF">
      <w:pPr>
        <w:rPr>
          <w:rFonts w:hint="eastAsia"/>
          <w:highlight w:val="none"/>
        </w:rPr>
      </w:pPr>
    </w:p>
    <w:p w14:paraId="18BC1F78">
      <w:pPr>
        <w:rPr>
          <w:rFonts w:hint="eastAsia"/>
          <w:highlight w:val="none"/>
        </w:rPr>
      </w:pPr>
    </w:p>
    <w:p w14:paraId="4EDE2067">
      <w:pPr>
        <w:rPr>
          <w:rFonts w:hint="eastAsia"/>
          <w:highlight w:val="none"/>
        </w:rPr>
      </w:pPr>
    </w:p>
    <w:p w14:paraId="54C6A6B8">
      <w:pPr>
        <w:spacing w:before="156" w:beforeLines="50" w:after="156" w:afterLines="50" w:line="360" w:lineRule="auto"/>
        <w:rPr>
          <w:rFonts w:hint="eastAsia" w:ascii="宋体" w:hAnsi="宋体" w:eastAsia="宋体" w:cs="宋体"/>
          <w:sz w:val="24"/>
          <w:szCs w:val="24"/>
          <w:highlight w:val="none"/>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A19E">
    <w:pPr>
      <w:pStyle w:val="8"/>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056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3B056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6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732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732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B2DDE9">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8F23">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61F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0FF6"/>
    <w:multiLevelType w:val="singleLevel"/>
    <w:tmpl w:val="BAA40FF6"/>
    <w:lvl w:ilvl="0" w:tentative="0">
      <w:start w:val="2"/>
      <w:numFmt w:val="chineseCounting"/>
      <w:suff w:val="nothing"/>
      <w:lvlText w:val="%1、"/>
      <w:lvlJc w:val="left"/>
      <w:rPr>
        <w:rFonts w:hint="eastAsia"/>
      </w:rPr>
    </w:lvl>
  </w:abstractNum>
  <w:abstractNum w:abstractNumId="1">
    <w:nsid w:val="23EDB088"/>
    <w:multiLevelType w:val="singleLevel"/>
    <w:tmpl w:val="23EDB08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12D49E7"/>
    <w:rsid w:val="025D6187"/>
    <w:rsid w:val="02E334E5"/>
    <w:rsid w:val="02E86081"/>
    <w:rsid w:val="035717DD"/>
    <w:rsid w:val="03897536"/>
    <w:rsid w:val="03F97469"/>
    <w:rsid w:val="04592E9D"/>
    <w:rsid w:val="048939E6"/>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981954"/>
    <w:rsid w:val="0CBB53BC"/>
    <w:rsid w:val="0CD25A38"/>
    <w:rsid w:val="0CD76320"/>
    <w:rsid w:val="0DC161D1"/>
    <w:rsid w:val="0DF86EF4"/>
    <w:rsid w:val="0E8B0460"/>
    <w:rsid w:val="0F35333C"/>
    <w:rsid w:val="0FCA5A2E"/>
    <w:rsid w:val="0FDB1AE4"/>
    <w:rsid w:val="128D3011"/>
    <w:rsid w:val="12D1759B"/>
    <w:rsid w:val="12D93FBD"/>
    <w:rsid w:val="1360453C"/>
    <w:rsid w:val="13734957"/>
    <w:rsid w:val="14062CD2"/>
    <w:rsid w:val="14DC067A"/>
    <w:rsid w:val="152529BA"/>
    <w:rsid w:val="154D0C92"/>
    <w:rsid w:val="15602773"/>
    <w:rsid w:val="15C72CF1"/>
    <w:rsid w:val="15F31BF6"/>
    <w:rsid w:val="16331F1D"/>
    <w:rsid w:val="16637512"/>
    <w:rsid w:val="17C074F9"/>
    <w:rsid w:val="17EF6B49"/>
    <w:rsid w:val="18B249A7"/>
    <w:rsid w:val="18DC1E7D"/>
    <w:rsid w:val="198C0526"/>
    <w:rsid w:val="19CF6702"/>
    <w:rsid w:val="1A044A55"/>
    <w:rsid w:val="1A680EA2"/>
    <w:rsid w:val="1ABD1C31"/>
    <w:rsid w:val="1ADF2787"/>
    <w:rsid w:val="1B130C8A"/>
    <w:rsid w:val="1B8B7FBE"/>
    <w:rsid w:val="1BD56AE1"/>
    <w:rsid w:val="1DE06B47"/>
    <w:rsid w:val="1DF3687A"/>
    <w:rsid w:val="1E2C3B3A"/>
    <w:rsid w:val="1E4B7FCA"/>
    <w:rsid w:val="1E644A4C"/>
    <w:rsid w:val="1FE94DE4"/>
    <w:rsid w:val="20000DDB"/>
    <w:rsid w:val="2076109D"/>
    <w:rsid w:val="21B869D3"/>
    <w:rsid w:val="258F690A"/>
    <w:rsid w:val="25DC786C"/>
    <w:rsid w:val="269428FC"/>
    <w:rsid w:val="269A0AE9"/>
    <w:rsid w:val="26BA7440"/>
    <w:rsid w:val="26C630C5"/>
    <w:rsid w:val="26CF3D56"/>
    <w:rsid w:val="2718776E"/>
    <w:rsid w:val="27C46AB9"/>
    <w:rsid w:val="27E3310C"/>
    <w:rsid w:val="287A54D7"/>
    <w:rsid w:val="29666EEF"/>
    <w:rsid w:val="29C658BE"/>
    <w:rsid w:val="29D16BED"/>
    <w:rsid w:val="29DB4666"/>
    <w:rsid w:val="2A1A6F3D"/>
    <w:rsid w:val="2A656B45"/>
    <w:rsid w:val="2AC62C21"/>
    <w:rsid w:val="2B3D52C3"/>
    <w:rsid w:val="2B8305B9"/>
    <w:rsid w:val="2BE72C93"/>
    <w:rsid w:val="2C2649BC"/>
    <w:rsid w:val="2C534414"/>
    <w:rsid w:val="2CB8042D"/>
    <w:rsid w:val="2CE86FC1"/>
    <w:rsid w:val="2D154C3C"/>
    <w:rsid w:val="2D45530D"/>
    <w:rsid w:val="2EA4276B"/>
    <w:rsid w:val="2EB63AC4"/>
    <w:rsid w:val="2EDB7436"/>
    <w:rsid w:val="2F3C1703"/>
    <w:rsid w:val="2F4933E9"/>
    <w:rsid w:val="2FDA4501"/>
    <w:rsid w:val="302D0FC7"/>
    <w:rsid w:val="309E5534"/>
    <w:rsid w:val="31A67308"/>
    <w:rsid w:val="32317519"/>
    <w:rsid w:val="3291083F"/>
    <w:rsid w:val="32CA4C22"/>
    <w:rsid w:val="32CA6A1F"/>
    <w:rsid w:val="32F8794B"/>
    <w:rsid w:val="33141D7F"/>
    <w:rsid w:val="3316226B"/>
    <w:rsid w:val="33A10688"/>
    <w:rsid w:val="33B102A6"/>
    <w:rsid w:val="353D57BF"/>
    <w:rsid w:val="364B5942"/>
    <w:rsid w:val="37892E7C"/>
    <w:rsid w:val="379C7920"/>
    <w:rsid w:val="37DF75F7"/>
    <w:rsid w:val="38BF0B4D"/>
    <w:rsid w:val="38C17F8F"/>
    <w:rsid w:val="3983323D"/>
    <w:rsid w:val="39C35AE3"/>
    <w:rsid w:val="3B190B4B"/>
    <w:rsid w:val="3B7B3443"/>
    <w:rsid w:val="3B8274A1"/>
    <w:rsid w:val="3CA75258"/>
    <w:rsid w:val="3D194F8D"/>
    <w:rsid w:val="3D291124"/>
    <w:rsid w:val="3D732CF9"/>
    <w:rsid w:val="3D8243B7"/>
    <w:rsid w:val="3DA556F2"/>
    <w:rsid w:val="3E014244"/>
    <w:rsid w:val="3EAB2402"/>
    <w:rsid w:val="3F8C050D"/>
    <w:rsid w:val="3FC72940"/>
    <w:rsid w:val="40275281"/>
    <w:rsid w:val="41182C00"/>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12750E"/>
    <w:rsid w:val="4AB8212E"/>
    <w:rsid w:val="4B074500"/>
    <w:rsid w:val="4B0A46D6"/>
    <w:rsid w:val="4CC34850"/>
    <w:rsid w:val="4CF24CCA"/>
    <w:rsid w:val="4D040BDB"/>
    <w:rsid w:val="4D734988"/>
    <w:rsid w:val="4E281379"/>
    <w:rsid w:val="4EA26C9E"/>
    <w:rsid w:val="4EC40281"/>
    <w:rsid w:val="4EEE7786"/>
    <w:rsid w:val="4F0509F2"/>
    <w:rsid w:val="50583AA6"/>
    <w:rsid w:val="50863682"/>
    <w:rsid w:val="5184053A"/>
    <w:rsid w:val="51912311"/>
    <w:rsid w:val="51BD6A7F"/>
    <w:rsid w:val="51EE5BC4"/>
    <w:rsid w:val="526A473C"/>
    <w:rsid w:val="535B3F9E"/>
    <w:rsid w:val="536C7627"/>
    <w:rsid w:val="538057B3"/>
    <w:rsid w:val="53966943"/>
    <w:rsid w:val="53D224B3"/>
    <w:rsid w:val="54550CA5"/>
    <w:rsid w:val="54D10E25"/>
    <w:rsid w:val="54F142D9"/>
    <w:rsid w:val="55FB13CC"/>
    <w:rsid w:val="565673EC"/>
    <w:rsid w:val="56981066"/>
    <w:rsid w:val="57062473"/>
    <w:rsid w:val="57602064"/>
    <w:rsid w:val="58AA1BE6"/>
    <w:rsid w:val="58DE7204"/>
    <w:rsid w:val="58F01918"/>
    <w:rsid w:val="59350DEE"/>
    <w:rsid w:val="599B3AEC"/>
    <w:rsid w:val="59F34F35"/>
    <w:rsid w:val="5A020E09"/>
    <w:rsid w:val="5A0407DB"/>
    <w:rsid w:val="5A7512E0"/>
    <w:rsid w:val="5A9D2814"/>
    <w:rsid w:val="5B9B13DC"/>
    <w:rsid w:val="5C6B34A4"/>
    <w:rsid w:val="5C7B5765"/>
    <w:rsid w:val="5D5A4249"/>
    <w:rsid w:val="5ED4120C"/>
    <w:rsid w:val="5EDD4ABE"/>
    <w:rsid w:val="5F3B6A32"/>
    <w:rsid w:val="5F5055BA"/>
    <w:rsid w:val="5F7A755A"/>
    <w:rsid w:val="60063D4B"/>
    <w:rsid w:val="607D37A6"/>
    <w:rsid w:val="60E97F34"/>
    <w:rsid w:val="61637BA0"/>
    <w:rsid w:val="617759A5"/>
    <w:rsid w:val="61D872FF"/>
    <w:rsid w:val="624125BB"/>
    <w:rsid w:val="624E1767"/>
    <w:rsid w:val="62976675"/>
    <w:rsid w:val="62984D49"/>
    <w:rsid w:val="62AC3ECF"/>
    <w:rsid w:val="63084CBC"/>
    <w:rsid w:val="63BD7C3E"/>
    <w:rsid w:val="6416019A"/>
    <w:rsid w:val="6452096F"/>
    <w:rsid w:val="659D10DD"/>
    <w:rsid w:val="65DF5574"/>
    <w:rsid w:val="66AB1C79"/>
    <w:rsid w:val="67087B42"/>
    <w:rsid w:val="682C6AB4"/>
    <w:rsid w:val="68392066"/>
    <w:rsid w:val="687E2D2C"/>
    <w:rsid w:val="69BD2E65"/>
    <w:rsid w:val="69BF6EB2"/>
    <w:rsid w:val="69FA391B"/>
    <w:rsid w:val="6A05730F"/>
    <w:rsid w:val="6A714AFC"/>
    <w:rsid w:val="6AF64881"/>
    <w:rsid w:val="6B146AB5"/>
    <w:rsid w:val="6B823269"/>
    <w:rsid w:val="6BBF7E61"/>
    <w:rsid w:val="6C9A3DF7"/>
    <w:rsid w:val="6D0E2C88"/>
    <w:rsid w:val="6D967C55"/>
    <w:rsid w:val="6F851A7C"/>
    <w:rsid w:val="6FDF5E73"/>
    <w:rsid w:val="6FE016FF"/>
    <w:rsid w:val="702847D9"/>
    <w:rsid w:val="702F7EED"/>
    <w:rsid w:val="71343921"/>
    <w:rsid w:val="71D329C4"/>
    <w:rsid w:val="71DA6389"/>
    <w:rsid w:val="71F25676"/>
    <w:rsid w:val="73387905"/>
    <w:rsid w:val="74A7269D"/>
    <w:rsid w:val="751F2C26"/>
    <w:rsid w:val="75406B66"/>
    <w:rsid w:val="75C4434D"/>
    <w:rsid w:val="761210DB"/>
    <w:rsid w:val="76C461B4"/>
    <w:rsid w:val="76E426B2"/>
    <w:rsid w:val="77534E09"/>
    <w:rsid w:val="789E3E62"/>
    <w:rsid w:val="79312349"/>
    <w:rsid w:val="79833E61"/>
    <w:rsid w:val="79D63AE2"/>
    <w:rsid w:val="79EA1DDF"/>
    <w:rsid w:val="7A0F3AFD"/>
    <w:rsid w:val="7A2A5843"/>
    <w:rsid w:val="7A9570DF"/>
    <w:rsid w:val="7BCB7664"/>
    <w:rsid w:val="7BE02598"/>
    <w:rsid w:val="7BE5355B"/>
    <w:rsid w:val="7C1F52BA"/>
    <w:rsid w:val="7C762D47"/>
    <w:rsid w:val="7D6C768E"/>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qFormat/>
    <w:uiPriority w:val="0"/>
    <w:pPr>
      <w:spacing w:after="120" w:afterLines="0"/>
    </w:pPr>
  </w:style>
  <w:style w:type="paragraph" w:styleId="6">
    <w:name w:val="Body Text Indent"/>
    <w:basedOn w:val="1"/>
    <w:next w:val="1"/>
    <w:qFormat/>
    <w:uiPriority w:val="0"/>
    <w:pPr>
      <w:ind w:firstLine="640" w:firstLineChars="200"/>
    </w:pPr>
    <w:rPr>
      <w:sz w:val="32"/>
      <w:szCs w:val="24"/>
    </w:rPr>
  </w:style>
  <w:style w:type="paragraph" w:styleId="7">
    <w:name w:val="Plain Text"/>
    <w:basedOn w:val="1"/>
    <w:next w:val="8"/>
    <w:qFormat/>
    <w:uiPriority w:val="0"/>
    <w:rPr>
      <w:rFonts w:ascii="宋体" w:hAnsi="Courier New" w:cs="Times New Roman"/>
      <w:szCs w:val="21"/>
    </w:rPr>
  </w:style>
  <w:style w:type="paragraph" w:styleId="8">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9">
    <w:name w:val="Date"/>
    <w:basedOn w:val="1"/>
    <w:next w:val="1"/>
    <w:qFormat/>
    <w:uiPriority w:val="0"/>
    <w:rPr>
      <w:rFonts w:eastAsia="宋体"/>
      <w:sz w:val="21"/>
      <w:szCs w:val="20"/>
    </w:rPr>
  </w:style>
  <w:style w:type="paragraph" w:styleId="10">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1">
    <w:name w:val="Balloon Text"/>
    <w:basedOn w:val="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toc 2"/>
    <w:basedOn w:val="1"/>
    <w:next w:val="1"/>
    <w:qFormat/>
    <w:uiPriority w:val="0"/>
    <w:pPr>
      <w:ind w:left="210"/>
      <w:jc w:val="left"/>
    </w:pPr>
    <w:rPr>
      <w:smallCaps/>
      <w:sz w:val="20"/>
      <w:szCs w:val="20"/>
    </w:rPr>
  </w:style>
  <w:style w:type="paragraph" w:styleId="14">
    <w:name w:val="Body Text 2"/>
    <w:basedOn w:val="1"/>
    <w:qFormat/>
    <w:uiPriority w:val="0"/>
    <w:pPr>
      <w:widowControl w:val="0"/>
      <w:spacing w:after="120" w:line="480" w:lineRule="auto"/>
      <w:jc w:val="both"/>
    </w:pPr>
    <w:rPr>
      <w:kern w:val="2"/>
      <w:sz w:val="21"/>
      <w:szCs w:val="24"/>
      <w:lang w:val="en-US" w:eastAsia="zh-CN" w:bidi="ar-SA"/>
    </w:rPr>
  </w:style>
  <w:style w:type="paragraph" w:styleId="15">
    <w:name w:val="Normal (Web)"/>
    <w:basedOn w:val="1"/>
    <w:qFormat/>
    <w:uiPriority w:val="0"/>
    <w:pPr>
      <w:widowControl/>
      <w:spacing w:before="100" w:beforeAutospacing="1" w:after="100" w:afterAutospacing="1"/>
      <w:jc w:val="left"/>
    </w:pPr>
    <w:rPr>
      <w:color w:val="2B2B2B"/>
      <w:kern w:val="0"/>
      <w:sz w:val="18"/>
      <w:szCs w:val="18"/>
    </w:rPr>
  </w:style>
  <w:style w:type="paragraph" w:styleId="16">
    <w:name w:val="Body Text First Indent 2"/>
    <w:basedOn w:val="6"/>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_Style 2"/>
    <w:basedOn w:val="1"/>
    <w:next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Table Paragraph"/>
    <w:basedOn w:val="1"/>
    <w:qFormat/>
    <w:uiPriority w:val="1"/>
    <w:pPr>
      <w:jc w:val="left"/>
    </w:pPr>
    <w:rPr>
      <w:kern w:val="0"/>
      <w:sz w:val="22"/>
      <w:lang w:eastAsia="en-US"/>
    </w:rPr>
  </w:style>
  <w:style w:type="character" w:customStyle="1" w:styleId="28">
    <w:name w:val="标题 2 字符"/>
    <w:link w:val="2"/>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7684</Words>
  <Characters>8156</Characters>
  <Lines>0</Lines>
  <Paragraphs>0</Paragraphs>
  <TotalTime>3</TotalTime>
  <ScaleCrop>false</ScaleCrop>
  <LinksUpToDate>false</LinksUpToDate>
  <CharactersWithSpaces>9146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2025-03-20T06:55:20Z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887995FE0AC9442485D7FAC55DBEB421</vt:lpwstr>
  </property>
  <property fmtid="{D5CDD505-2E9C-101B-9397-08002B2CF9AE}" pid="4" name="KSOTemplateDocerSaveRecord">
    <vt:lpwstr>eyJoZGlkIjoiMTQ2OWFkYTFiOTFkN2I4ZGE2NDM0OTQxYzk3OTBmMjIiLCJ1c2VySWQiOiI0MzkxNTc3MzQifQ==</vt:lpwstr>
  </property>
</Properties>
</file>